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3CB77">
      <w:pPr>
        <w:ind w:firstLine="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w:t>
      </w:r>
      <w:r>
        <w:rPr>
          <w:rFonts w:hint="eastAsia" w:eastAsia="仿宋" w:cs="Times New Roman"/>
          <w:sz w:val="32"/>
          <w:szCs w:val="32"/>
          <w:lang w:val="en-US" w:eastAsia="zh-CN"/>
        </w:rPr>
        <w:t>2</w:t>
      </w:r>
    </w:p>
    <w:p w14:paraId="3966ABF1">
      <w:pPr>
        <w:keepNext w:val="0"/>
        <w:keepLines w:val="0"/>
        <w:pageBreakBefore w:val="0"/>
        <w:kinsoku/>
        <w:wordWrap/>
        <w:overflowPunct/>
        <w:topLinePunct w:val="0"/>
        <w:autoSpaceDE/>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湖南省土地工程优秀成果奖评选办法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w:t>
      </w:r>
    </w:p>
    <w:p w14:paraId="7B42E7D2">
      <w:pPr>
        <w:keepNext w:val="0"/>
        <w:keepLines w:val="0"/>
        <w:pageBreakBefore w:val="0"/>
        <w:kinsoku/>
        <w:wordWrap/>
        <w:overflowPunct/>
        <w:topLinePunct w:val="0"/>
        <w:autoSpaceDE/>
        <w:bidi w:val="0"/>
        <w:adjustRightInd/>
        <w:snapToGrid/>
        <w:spacing w:line="660" w:lineRule="exact"/>
        <w:jc w:val="center"/>
        <w:textAlignment w:val="auto"/>
        <w:rPr>
          <w:rFonts w:ascii="黑体" w:hAnsi="黑体" w:eastAsia="黑体" w:cs="黑体"/>
          <w:sz w:val="32"/>
          <w:szCs w:val="32"/>
        </w:rPr>
      </w:pPr>
    </w:p>
    <w:p w14:paraId="148413E4">
      <w:pPr>
        <w:keepNext w:val="0"/>
        <w:keepLines w:val="0"/>
        <w:pageBreakBefore w:val="0"/>
        <w:kinsoku/>
        <w:wordWrap/>
        <w:overflowPunct/>
        <w:topLinePunct w:val="0"/>
        <w:autoSpaceDE/>
        <w:bidi w:val="0"/>
        <w:adjustRightInd/>
        <w:snapToGrid/>
        <w:spacing w:line="660" w:lineRule="exact"/>
        <w:jc w:val="center"/>
        <w:textAlignment w:val="auto"/>
        <w:rPr>
          <w:rFonts w:ascii="仿宋" w:hAnsi="仿宋" w:eastAsia="仿宋" w:cs="Times New Roman"/>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总</w:t>
      </w:r>
      <w:r>
        <w:rPr>
          <w:rFonts w:ascii="黑体" w:hAnsi="黑体" w:eastAsia="黑体" w:cs="黑体"/>
          <w:sz w:val="32"/>
          <w:szCs w:val="32"/>
        </w:rPr>
        <w:t xml:space="preserve"> </w:t>
      </w:r>
      <w:r>
        <w:rPr>
          <w:rFonts w:hint="eastAsia" w:ascii="黑体" w:hAnsi="黑体" w:eastAsia="黑体" w:cs="黑体"/>
          <w:sz w:val="32"/>
          <w:szCs w:val="32"/>
        </w:rPr>
        <w:t>则</w:t>
      </w:r>
    </w:p>
    <w:p w14:paraId="0037ABA3">
      <w:pPr>
        <w:keepNext w:val="0"/>
        <w:keepLines w:val="0"/>
        <w:pageBreakBefore w:val="0"/>
        <w:shd w:val="solid" w:color="FFFFFF" w:fill="auto"/>
        <w:kinsoku/>
        <w:wordWrap/>
        <w:overflowPunct/>
        <w:topLinePunct w:val="0"/>
        <w:autoSpaceDE/>
        <w:autoSpaceDN w:val="0"/>
        <w:bidi w:val="0"/>
        <w:adjustRightInd/>
        <w:snapToGrid/>
        <w:spacing w:line="660" w:lineRule="exact"/>
        <w:ind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Times New Roman"/>
          <w:sz w:val="32"/>
          <w:szCs w:val="32"/>
        </w:rPr>
        <w:t xml:space="preserve"> </w:t>
      </w:r>
      <w:r>
        <w:rPr>
          <w:rFonts w:hint="eastAsia" w:ascii="仿宋" w:hAnsi="仿宋" w:eastAsia="仿宋" w:cs="仿宋"/>
          <w:sz w:val="32"/>
          <w:szCs w:val="32"/>
        </w:rPr>
        <w:t>为了加强土地工程项目的科学管理，提高土地工程的成果质量和科技含量，鼓励相关单位争创优秀土地工程成果，根据国家相关法律法规和技术标准，参照《国土资源科学技术奖励办法》，结合本省实际，制定本办法。</w:t>
      </w:r>
    </w:p>
    <w:p w14:paraId="1B0E9DA2">
      <w:pPr>
        <w:keepNext w:val="0"/>
        <w:keepLines w:val="0"/>
        <w:pageBreakBefore w:val="0"/>
        <w:kinsoku/>
        <w:wordWrap/>
        <w:overflowPunct/>
        <w:topLinePunct w:val="0"/>
        <w:autoSpaceDE/>
        <w:bidi w:val="0"/>
        <w:adjustRightInd/>
        <w:snapToGrid/>
        <w:spacing w:line="660" w:lineRule="exact"/>
        <w:ind w:firstLine="643" w:firstLineChars="200"/>
        <w:jc w:val="both"/>
        <w:textAlignment w:val="auto"/>
        <w:rPr>
          <w:rFonts w:ascii="仿宋" w:hAnsi="仿宋" w:eastAsia="仿宋" w:cs="Times New Roman"/>
          <w:sz w:val="32"/>
          <w:szCs w:val="32"/>
        </w:rPr>
      </w:pPr>
      <w:r>
        <w:rPr>
          <w:rFonts w:hint="eastAsia" w:ascii="仿宋" w:hAnsi="仿宋" w:eastAsia="仿宋" w:cs="仿宋"/>
          <w:b/>
          <w:bCs/>
          <w:sz w:val="32"/>
          <w:szCs w:val="32"/>
        </w:rPr>
        <w:t>第二条</w:t>
      </w:r>
      <w:r>
        <w:rPr>
          <w:rFonts w:hint="eastAsia" w:ascii="仿宋" w:hAnsi="仿宋" w:eastAsia="仿宋" w:cs="Times New Roman"/>
          <w:sz w:val="32"/>
          <w:szCs w:val="32"/>
        </w:rPr>
        <w:t xml:space="preserve"> </w:t>
      </w:r>
      <w:r>
        <w:rPr>
          <w:rFonts w:hint="eastAsia" w:ascii="仿宋" w:hAnsi="仿宋" w:eastAsia="仿宋" w:cs="仿宋"/>
          <w:sz w:val="32"/>
          <w:szCs w:val="32"/>
        </w:rPr>
        <w:t>湖南省土地学会从专家库中抽取专家组成评选委员会，负责土地工程优秀成果奖（以下简称优秀成果奖）评选工作，湖南省土地学会秘书处（以下简称秘书处）负责优秀成果奖评选的日常组织管理工作。</w:t>
      </w:r>
    </w:p>
    <w:p w14:paraId="30238739">
      <w:pPr>
        <w:keepNext w:val="0"/>
        <w:keepLines w:val="0"/>
        <w:pageBreakBefore w:val="0"/>
        <w:kinsoku/>
        <w:wordWrap/>
        <w:overflowPunct/>
        <w:topLinePunct w:val="0"/>
        <w:autoSpaceDE/>
        <w:bidi w:val="0"/>
        <w:adjustRightInd/>
        <w:snapToGrid/>
        <w:spacing w:line="660" w:lineRule="exact"/>
        <w:ind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Times New Roman"/>
          <w:sz w:val="32"/>
          <w:szCs w:val="32"/>
        </w:rPr>
        <w:t xml:space="preserve"> </w:t>
      </w:r>
      <w:r>
        <w:rPr>
          <w:rFonts w:hint="eastAsia" w:ascii="仿宋" w:hAnsi="仿宋" w:eastAsia="仿宋" w:cs="仿宋"/>
          <w:sz w:val="32"/>
          <w:szCs w:val="32"/>
        </w:rPr>
        <w:t>优秀成果奖坚持公开、</w:t>
      </w:r>
      <w:bookmarkStart w:id="0" w:name="_GoBack"/>
      <w:bookmarkEnd w:id="0"/>
      <w:r>
        <w:rPr>
          <w:rFonts w:hint="eastAsia" w:ascii="仿宋" w:hAnsi="仿宋" w:eastAsia="仿宋" w:cs="仿宋"/>
          <w:sz w:val="32"/>
          <w:szCs w:val="32"/>
        </w:rPr>
        <w:t>公平、公正的评选原则，不受任何组织或者个人的干涉。</w:t>
      </w:r>
    </w:p>
    <w:p w14:paraId="79CFF720">
      <w:pPr>
        <w:keepNext w:val="0"/>
        <w:keepLines w:val="0"/>
        <w:pageBreakBefore w:val="0"/>
        <w:kinsoku/>
        <w:wordWrap/>
        <w:overflowPunct/>
        <w:topLinePunct w:val="0"/>
        <w:autoSpaceDE/>
        <w:bidi w:val="0"/>
        <w:adjustRightInd/>
        <w:snapToGrid/>
        <w:spacing w:line="660" w:lineRule="exact"/>
        <w:ind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Times New Roman"/>
          <w:sz w:val="32"/>
          <w:szCs w:val="32"/>
        </w:rPr>
        <w:t xml:space="preserve"> </w:t>
      </w:r>
      <w:r>
        <w:rPr>
          <w:rFonts w:hint="eastAsia" w:ascii="仿宋" w:hAnsi="仿宋" w:eastAsia="仿宋" w:cs="仿宋"/>
          <w:sz w:val="32"/>
          <w:szCs w:val="32"/>
        </w:rPr>
        <w:t>优秀</w:t>
      </w:r>
      <w:r>
        <w:rPr>
          <w:rFonts w:ascii="Times New Roman" w:hAnsi="Times New Roman" w:eastAsia="仿宋" w:cs="Times New Roman"/>
          <w:sz w:val="32"/>
          <w:szCs w:val="32"/>
        </w:rPr>
        <w:t>成果奖每年评选一次，设一、二、三等奖。获奖项目原则上不得超过当年参评项目总数的70%，其中一等奖不超过参评项目的15％，二等奖不超过参评项目的25%。具体授奖数量可在此基础上，根据当年报奖申报情况，由评选委员会确定。若项目取得重大成果，在</w:t>
      </w:r>
      <w:r>
        <w:rPr>
          <w:rFonts w:hint="eastAsia" w:ascii="Times New Roman" w:hAnsi="Times New Roman" w:eastAsia="仿宋" w:cs="Times New Roman"/>
          <w:sz w:val="32"/>
          <w:szCs w:val="32"/>
          <w:lang w:val="en-US" w:eastAsia="zh-CN"/>
        </w:rPr>
        <w:t>省</w:t>
      </w:r>
      <w:r>
        <w:rPr>
          <w:rFonts w:ascii="Times New Roman" w:hAnsi="Times New Roman" w:eastAsia="仿宋" w:cs="Times New Roman"/>
          <w:sz w:val="32"/>
          <w:szCs w:val="32"/>
        </w:rPr>
        <w:t>内外有重大影响力，对行业发展有重大推动作用，经评选委员会一致同意，可以授予特等奖，特等奖每年不超过1项</w:t>
      </w:r>
      <w:r>
        <w:rPr>
          <w:rFonts w:hint="eastAsia" w:ascii="仿宋" w:hAnsi="仿宋" w:eastAsia="仿宋" w:cs="仿宋"/>
          <w:sz w:val="32"/>
          <w:szCs w:val="32"/>
        </w:rPr>
        <w:t>。</w:t>
      </w:r>
    </w:p>
    <w:p w14:paraId="056010F5">
      <w:pPr>
        <w:keepNext w:val="0"/>
        <w:keepLines w:val="0"/>
        <w:pageBreakBefore w:val="0"/>
        <w:kinsoku/>
        <w:wordWrap/>
        <w:overflowPunct/>
        <w:topLinePunct w:val="0"/>
        <w:autoSpaceDE/>
        <w:bidi w:val="0"/>
        <w:adjustRightInd/>
        <w:snapToGrid/>
        <w:spacing w:line="660" w:lineRule="exact"/>
        <w:jc w:val="center"/>
        <w:textAlignment w:val="auto"/>
        <w:rPr>
          <w:rFonts w:ascii="黑体" w:hAnsi="黑体" w:eastAsia="黑体" w:cs="Times New Roman"/>
          <w:sz w:val="32"/>
          <w:szCs w:val="32"/>
        </w:rPr>
      </w:pPr>
      <w:r>
        <w:rPr>
          <w:rFonts w:hint="eastAsia" w:ascii="黑体" w:hAnsi="黑体" w:eastAsia="黑体" w:cs="黑体"/>
          <w:sz w:val="32"/>
          <w:szCs w:val="32"/>
        </w:rPr>
        <w:t>第二章</w:t>
      </w:r>
      <w:r>
        <w:rPr>
          <w:rFonts w:ascii="黑体" w:hAnsi="黑体" w:eastAsia="黑体" w:cs="黑体"/>
          <w:sz w:val="32"/>
          <w:szCs w:val="32"/>
        </w:rPr>
        <w:t xml:space="preserve">  </w:t>
      </w:r>
      <w:r>
        <w:rPr>
          <w:rFonts w:hint="eastAsia" w:ascii="黑体" w:hAnsi="黑体" w:eastAsia="黑体" w:cs="黑体"/>
          <w:sz w:val="32"/>
          <w:szCs w:val="32"/>
        </w:rPr>
        <w:t>评选范围和条件</w:t>
      </w:r>
    </w:p>
    <w:p w14:paraId="3CD2B95B">
      <w:pPr>
        <w:keepNext w:val="0"/>
        <w:keepLines w:val="0"/>
        <w:pageBreakBefore w:val="0"/>
        <w:kinsoku/>
        <w:wordWrap/>
        <w:overflowPunct/>
        <w:topLinePunct w:val="0"/>
        <w:autoSpaceDE/>
        <w:bidi w:val="0"/>
        <w:adjustRightInd/>
        <w:snapToGrid/>
        <w:spacing w:line="660" w:lineRule="exact"/>
        <w:ind w:firstLine="643" w:firstLineChars="200"/>
        <w:textAlignment w:val="auto"/>
        <w:rPr>
          <w:rFonts w:ascii="仿宋" w:hAnsi="仿宋" w:eastAsia="仿宋" w:cs="Times New Roman"/>
          <w:sz w:val="32"/>
          <w:szCs w:val="32"/>
        </w:rPr>
      </w:pPr>
      <w:r>
        <w:rPr>
          <w:rFonts w:hint="eastAsia" w:ascii="仿宋" w:hAnsi="仿宋" w:eastAsia="仿宋" w:cs="仿宋"/>
          <w:b/>
          <w:bCs/>
          <w:sz w:val="32"/>
          <w:szCs w:val="32"/>
        </w:rPr>
        <w:t>第五条</w:t>
      </w:r>
      <w:r>
        <w:rPr>
          <w:rFonts w:hint="eastAsia" w:ascii="仿宋" w:hAnsi="仿宋" w:eastAsia="仿宋" w:cs="Times New Roman"/>
          <w:sz w:val="32"/>
          <w:szCs w:val="32"/>
        </w:rPr>
        <w:t xml:space="preserve"> </w:t>
      </w:r>
      <w:r>
        <w:rPr>
          <w:rFonts w:hint="eastAsia" w:ascii="仿宋" w:hAnsi="仿宋" w:eastAsia="仿宋" w:cs="仿宋"/>
          <w:sz w:val="32"/>
          <w:szCs w:val="32"/>
        </w:rPr>
        <w:t>湖南省土地学</w:t>
      </w:r>
      <w:r>
        <w:rPr>
          <w:rFonts w:hint="eastAsia" w:ascii="仿宋" w:hAnsi="仿宋" w:eastAsia="仿宋" w:cs="仿宋"/>
          <w:color w:val="auto"/>
          <w:sz w:val="32"/>
          <w:szCs w:val="32"/>
        </w:rPr>
        <w:t>会会员单位依法在湖南省内参与的技术先进、管理科学、质量优质、效益显著的土地工程项目均可参评优秀成果奖。</w:t>
      </w:r>
    </w:p>
    <w:p w14:paraId="7EEE955E">
      <w:pPr>
        <w:keepNext w:val="0"/>
        <w:keepLines w:val="0"/>
        <w:pageBreakBefore w:val="0"/>
        <w:kinsoku/>
        <w:wordWrap/>
        <w:overflowPunct/>
        <w:topLinePunct w:val="0"/>
        <w:autoSpaceDE/>
        <w:bidi w:val="0"/>
        <w:adjustRightInd/>
        <w:snapToGrid/>
        <w:spacing w:line="660" w:lineRule="exact"/>
        <w:ind w:firstLine="619" w:firstLineChars="200"/>
        <w:textAlignment w:val="auto"/>
        <w:rPr>
          <w:rFonts w:ascii="仿宋" w:hAnsi="仿宋" w:eastAsia="仿宋" w:cs="Times New Roman"/>
          <w:spacing w:val="-6"/>
          <w:kern w:val="0"/>
          <w:sz w:val="32"/>
          <w:szCs w:val="32"/>
        </w:rPr>
      </w:pPr>
      <w:r>
        <w:rPr>
          <w:rFonts w:hint="eastAsia" w:ascii="仿宋" w:hAnsi="仿宋" w:eastAsia="仿宋" w:cs="仿宋"/>
          <w:b/>
          <w:bCs/>
          <w:spacing w:val="-6"/>
          <w:kern w:val="0"/>
          <w:sz w:val="32"/>
          <w:szCs w:val="32"/>
        </w:rPr>
        <w:t>第六条</w:t>
      </w:r>
      <w:r>
        <w:rPr>
          <w:rFonts w:hint="eastAsia" w:ascii="仿宋" w:hAnsi="仿宋" w:eastAsia="仿宋" w:cs="Times New Roman"/>
          <w:spacing w:val="-6"/>
          <w:kern w:val="0"/>
          <w:sz w:val="32"/>
          <w:szCs w:val="32"/>
        </w:rPr>
        <w:t xml:space="preserve"> </w:t>
      </w:r>
      <w:r>
        <w:rPr>
          <w:rFonts w:hint="eastAsia" w:ascii="仿宋" w:hAnsi="仿宋" w:eastAsia="仿宋" w:cs="仿宋"/>
          <w:spacing w:val="-6"/>
          <w:kern w:val="0"/>
          <w:sz w:val="32"/>
          <w:szCs w:val="32"/>
        </w:rPr>
        <w:t>参评项目包括：与土地工程相关的技术咨询设计、项目建设、调查监测评价等为土地资源管理提供全生命周期的技术服务类项目。参评项目必须应用于实践并取得显著效益。</w:t>
      </w:r>
    </w:p>
    <w:p w14:paraId="69F48C04">
      <w:pPr>
        <w:keepNext w:val="0"/>
        <w:keepLines w:val="0"/>
        <w:pageBreakBefore w:val="0"/>
        <w:kinsoku/>
        <w:wordWrap/>
        <w:overflowPunct/>
        <w:topLinePunct w:val="0"/>
        <w:autoSpaceDE/>
        <w:bidi w:val="0"/>
        <w:adjustRightInd/>
        <w:snapToGrid/>
        <w:spacing w:line="660" w:lineRule="exact"/>
        <w:ind w:firstLine="643" w:firstLineChars="200"/>
        <w:textAlignment w:val="auto"/>
        <w:rPr>
          <w:rFonts w:hint="eastAsia" w:ascii="仿宋" w:hAnsi="仿宋" w:eastAsia="仿宋" w:cs="仿宋"/>
          <w:color w:val="auto"/>
          <w:spacing w:val="-6"/>
          <w:sz w:val="32"/>
          <w:szCs w:val="32"/>
        </w:rPr>
      </w:pPr>
      <w:r>
        <w:rPr>
          <w:rFonts w:hint="eastAsia" w:ascii="仿宋" w:hAnsi="仿宋" w:eastAsia="仿宋" w:cs="仿宋"/>
          <w:b/>
          <w:bCs/>
          <w:sz w:val="32"/>
          <w:szCs w:val="32"/>
        </w:rPr>
        <w:t>第七条</w:t>
      </w:r>
      <w:r>
        <w:rPr>
          <w:rFonts w:hint="eastAsia" w:ascii="仿宋" w:hAnsi="仿宋" w:eastAsia="仿宋" w:cs="Times New Roman"/>
          <w:sz w:val="32"/>
          <w:szCs w:val="32"/>
        </w:rPr>
        <w:t xml:space="preserve"> </w:t>
      </w:r>
      <w:r>
        <w:rPr>
          <w:rFonts w:hint="eastAsia" w:ascii="仿宋" w:hAnsi="仿宋" w:eastAsia="仿宋" w:cs="仿宋"/>
          <w:color w:val="auto"/>
          <w:sz w:val="32"/>
          <w:szCs w:val="32"/>
        </w:rPr>
        <w:t>优秀成果奖评选主要从项目示范性、理念先进性、报件规范性、技术合理性、管理科学性以及项目规模、取得效益等方面进行综合评价。其中，示范性体现项目在同类项目中的“样板”效应，获得业界广泛认可或推广；理念先进性是针对存在的问题，引入新理念加以解决；报件规范性体现在技术成果报件完整性、规范性；技术合理性体现在技术路线科学合理、工程方案可行、投资控制得当等；管理科学性体现项目参照</w:t>
      </w:r>
      <w:r>
        <w:rPr>
          <w:rFonts w:hint="default" w:ascii="Times New Roman" w:hAnsi="Times New Roman" w:eastAsia="仿宋" w:cs="Times New Roman"/>
          <w:color w:val="auto"/>
          <w:sz w:val="32"/>
          <w:szCs w:val="32"/>
        </w:rPr>
        <w:t>ISO9001</w:t>
      </w:r>
      <w:r>
        <w:rPr>
          <w:rFonts w:hint="eastAsia" w:ascii="仿宋" w:hAnsi="仿宋" w:eastAsia="仿宋" w:cs="仿宋"/>
          <w:color w:val="auto"/>
          <w:sz w:val="32"/>
          <w:szCs w:val="32"/>
        </w:rPr>
        <w:t>质量管理认证体系，成果质量全程控制；项目规模体现在项目咨询服务合同额或建设项目总投资。项目效益体现在项目实现的社会效益、经济效益和生态效益，以及业主、用户的满意度等。</w:t>
      </w:r>
    </w:p>
    <w:p w14:paraId="095E5481">
      <w:pPr>
        <w:keepNext w:val="0"/>
        <w:keepLines w:val="0"/>
        <w:pageBreakBefore w:val="0"/>
        <w:kinsoku/>
        <w:wordWrap/>
        <w:overflowPunct/>
        <w:topLinePunct w:val="0"/>
        <w:autoSpaceDE/>
        <w:bidi w:val="0"/>
        <w:adjustRightInd/>
        <w:snapToGrid/>
        <w:spacing w:line="660" w:lineRule="exact"/>
        <w:jc w:val="center"/>
        <w:textAlignment w:val="auto"/>
        <w:rPr>
          <w:rFonts w:ascii="黑体" w:hAnsi="黑体" w:eastAsia="黑体" w:cs="Times New Roman"/>
          <w:sz w:val="32"/>
          <w:szCs w:val="32"/>
        </w:rPr>
      </w:pPr>
      <w:r>
        <w:rPr>
          <w:rFonts w:hint="eastAsia" w:ascii="黑体" w:hAnsi="黑体" w:eastAsia="黑体" w:cs="黑体"/>
          <w:sz w:val="32"/>
          <w:szCs w:val="32"/>
        </w:rPr>
        <w:t>第三章</w:t>
      </w:r>
      <w:r>
        <w:rPr>
          <w:rFonts w:ascii="黑体" w:hAnsi="黑体" w:eastAsia="黑体" w:cs="黑体"/>
          <w:sz w:val="32"/>
          <w:szCs w:val="32"/>
        </w:rPr>
        <w:t xml:space="preserve">  </w:t>
      </w:r>
      <w:r>
        <w:rPr>
          <w:rFonts w:hint="eastAsia" w:ascii="黑体" w:hAnsi="黑体" w:eastAsia="黑体" w:cs="黑体"/>
          <w:sz w:val="32"/>
          <w:szCs w:val="32"/>
        </w:rPr>
        <w:t>项目申报</w:t>
      </w:r>
    </w:p>
    <w:p w14:paraId="5B26D15E">
      <w:pPr>
        <w:keepNext w:val="0"/>
        <w:keepLines w:val="0"/>
        <w:pageBreakBefore w:val="0"/>
        <w:kinsoku/>
        <w:wordWrap/>
        <w:overflowPunct/>
        <w:topLinePunct w:val="0"/>
        <w:autoSpaceDE/>
        <w:bidi w:val="0"/>
        <w:adjustRightInd/>
        <w:snapToGrid/>
        <w:spacing w:line="660" w:lineRule="exact"/>
        <w:ind w:firstLine="643" w:firstLineChars="200"/>
        <w:jc w:val="both"/>
        <w:textAlignment w:val="auto"/>
        <w:rPr>
          <w:rFonts w:ascii="Times New Roman" w:hAnsi="Times New Roman" w:eastAsia="仿宋" w:cs="Times New Roman"/>
          <w:spacing w:val="-6"/>
          <w:sz w:val="32"/>
          <w:szCs w:val="32"/>
        </w:rPr>
      </w:pPr>
      <w:r>
        <w:rPr>
          <w:rFonts w:ascii="Times New Roman" w:hAnsi="Times New Roman" w:eastAsia="仿宋" w:cs="Times New Roman"/>
          <w:b/>
          <w:bCs/>
          <w:sz w:val="32"/>
          <w:szCs w:val="32"/>
        </w:rPr>
        <w:t>第八条</w:t>
      </w:r>
      <w:r>
        <w:rPr>
          <w:rFonts w:hint="eastAsia" w:ascii="Times New Roman" w:hAnsi="Times New Roman" w:eastAsia="仿宋" w:cs="Times New Roman"/>
          <w:b/>
          <w:bCs/>
          <w:sz w:val="32"/>
          <w:szCs w:val="32"/>
        </w:rPr>
        <w:t xml:space="preserve"> </w:t>
      </w:r>
      <w:r>
        <w:rPr>
          <w:rFonts w:ascii="Times New Roman" w:hAnsi="Times New Roman" w:eastAsia="仿宋" w:cs="Times New Roman"/>
          <w:spacing w:val="-6"/>
          <w:sz w:val="32"/>
          <w:szCs w:val="32"/>
        </w:rPr>
        <w:t>申报优秀成果奖的项目必须符合下列条件：</w:t>
      </w:r>
    </w:p>
    <w:p w14:paraId="2A28665B">
      <w:pPr>
        <w:keepNext w:val="0"/>
        <w:keepLines w:val="0"/>
        <w:pageBreakBefore w:val="0"/>
        <w:kinsoku/>
        <w:wordWrap/>
        <w:overflowPunct/>
        <w:topLinePunct w:val="0"/>
        <w:autoSpaceDE/>
        <w:bidi w:val="0"/>
        <w:adjustRightInd/>
        <w:snapToGrid/>
        <w:spacing w:line="660" w:lineRule="exact"/>
        <w:ind w:firstLine="640" w:firstLineChars="200"/>
        <w:jc w:val="both"/>
        <w:textAlignment w:val="auto"/>
        <w:rPr>
          <w:rFonts w:ascii="Times New Roman" w:hAnsi="Times New Roman" w:eastAsia="仿宋" w:cs="Times New Roman"/>
          <w:sz w:val="32"/>
          <w:szCs w:val="32"/>
        </w:rPr>
      </w:pPr>
      <w:r>
        <w:rPr>
          <w:rFonts w:ascii="Times New Roman" w:hAnsi="Times New Roman" w:eastAsia="仿宋" w:cs="Times New Roman"/>
          <w:sz w:val="32"/>
          <w:szCs w:val="32"/>
        </w:rPr>
        <w:t>（一）会员单位依法依规参与完成的土地工程项目；</w:t>
      </w:r>
    </w:p>
    <w:p w14:paraId="3A735CD9">
      <w:pPr>
        <w:keepNext w:val="0"/>
        <w:keepLines w:val="0"/>
        <w:pageBreakBefore w:val="0"/>
        <w:kinsoku/>
        <w:wordWrap/>
        <w:overflowPunct/>
        <w:topLinePunct w:val="0"/>
        <w:autoSpaceDE/>
        <w:bidi w:val="0"/>
        <w:adjustRightInd/>
        <w:snapToGrid/>
        <w:spacing w:line="660" w:lineRule="exact"/>
        <w:ind w:firstLine="640" w:firstLineChars="200"/>
        <w:jc w:val="both"/>
        <w:textAlignment w:val="auto"/>
        <w:rPr>
          <w:rFonts w:ascii="Times New Roman" w:hAnsi="Times New Roman" w:eastAsia="仿宋" w:cs="Times New Roman"/>
          <w:sz w:val="32"/>
          <w:szCs w:val="32"/>
        </w:rPr>
      </w:pPr>
      <w:r>
        <w:rPr>
          <w:rFonts w:ascii="Times New Roman" w:hAnsi="Times New Roman" w:eastAsia="仿宋" w:cs="Times New Roman"/>
          <w:sz w:val="32"/>
          <w:szCs w:val="32"/>
        </w:rPr>
        <w:t>（二）项目执行国家、省有关技术标准、规范；</w:t>
      </w:r>
    </w:p>
    <w:p w14:paraId="41C2EF20">
      <w:pPr>
        <w:keepNext w:val="0"/>
        <w:keepLines w:val="0"/>
        <w:pageBreakBefore w:val="0"/>
        <w:kinsoku/>
        <w:wordWrap/>
        <w:overflowPunct/>
        <w:topLinePunct w:val="0"/>
        <w:autoSpaceDE/>
        <w:bidi w:val="0"/>
        <w:adjustRightInd/>
        <w:snapToGrid/>
        <w:spacing w:line="660" w:lineRule="exact"/>
        <w:ind w:firstLine="640" w:firstLineChars="200"/>
        <w:jc w:val="both"/>
        <w:textAlignment w:val="auto"/>
        <w:rPr>
          <w:rFonts w:ascii="Times New Roman" w:hAnsi="Times New Roman" w:eastAsia="仿宋" w:cs="Times New Roman"/>
          <w:sz w:val="32"/>
          <w:szCs w:val="32"/>
        </w:rPr>
      </w:pPr>
      <w:r>
        <w:rPr>
          <w:rFonts w:ascii="Times New Roman" w:hAnsi="Times New Roman" w:eastAsia="仿宋" w:cs="Times New Roman"/>
          <w:sz w:val="32"/>
          <w:szCs w:val="32"/>
        </w:rPr>
        <w:t>（三）项目须在近三个自然年度内完成验收，其成果已经提供用户使用且无质量投诉；</w:t>
      </w:r>
    </w:p>
    <w:p w14:paraId="6F69F173">
      <w:pPr>
        <w:keepNext w:val="0"/>
        <w:keepLines w:val="0"/>
        <w:pageBreakBefore w:val="0"/>
        <w:kinsoku/>
        <w:wordWrap/>
        <w:overflowPunct/>
        <w:topLinePunct w:val="0"/>
        <w:autoSpaceDE/>
        <w:bidi w:val="0"/>
        <w:adjustRightInd/>
        <w:snapToGrid/>
        <w:spacing w:line="660"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color w:val="auto"/>
          <w:sz w:val="32"/>
          <w:szCs w:val="32"/>
        </w:rPr>
        <w:t>项目合同额在20万元以上（以有效的技术服务合同为准），或对应的工程建设投资应400万元以上（以项目立项批复或财政评审文件为准）</w:t>
      </w:r>
      <w:r>
        <w:rPr>
          <w:rFonts w:ascii="Times New Roman" w:hAnsi="Times New Roman" w:eastAsia="仿宋" w:cs="Times New Roman"/>
          <w:color w:val="auto"/>
          <w:sz w:val="32"/>
          <w:szCs w:val="32"/>
        </w:rPr>
        <w:t>；</w:t>
      </w:r>
    </w:p>
    <w:p w14:paraId="6267274E">
      <w:pPr>
        <w:keepNext w:val="0"/>
        <w:keepLines w:val="0"/>
        <w:pageBreakBefore w:val="0"/>
        <w:kinsoku/>
        <w:wordWrap/>
        <w:overflowPunct/>
        <w:topLinePunct w:val="0"/>
        <w:autoSpaceDE/>
        <w:bidi w:val="0"/>
        <w:adjustRightInd/>
        <w:snapToGrid/>
        <w:spacing w:line="660" w:lineRule="exact"/>
        <w:ind w:firstLine="640" w:firstLineChars="200"/>
        <w:jc w:val="both"/>
        <w:textAlignment w:val="auto"/>
        <w:rPr>
          <w:rFonts w:ascii="Times New Roman" w:hAnsi="Times New Roman" w:eastAsia="仿宋" w:cs="Times New Roman"/>
          <w:sz w:val="32"/>
          <w:szCs w:val="32"/>
        </w:rPr>
      </w:pPr>
      <w:r>
        <w:rPr>
          <w:rFonts w:ascii="Times New Roman" w:hAnsi="Times New Roman" w:eastAsia="仿宋" w:cs="Times New Roman"/>
          <w:sz w:val="32"/>
          <w:szCs w:val="32"/>
        </w:rPr>
        <w:t>（五）成果已经通过主管部门或者甲方组织验收或专家评审，有定性、定量的验</w:t>
      </w:r>
      <w:r>
        <w:rPr>
          <w:rFonts w:ascii="Times New Roman" w:hAnsi="Times New Roman" w:eastAsia="仿宋" w:cs="Times New Roman"/>
          <w:color w:val="auto"/>
          <w:sz w:val="32"/>
          <w:szCs w:val="32"/>
        </w:rPr>
        <w:t>收报告或</w:t>
      </w:r>
      <w:r>
        <w:rPr>
          <w:rFonts w:hint="eastAsia" w:ascii="Times New Roman" w:hAnsi="Times New Roman" w:eastAsia="仿宋" w:cs="Times New Roman"/>
          <w:color w:val="auto"/>
          <w:sz w:val="32"/>
          <w:szCs w:val="32"/>
        </w:rPr>
        <w:t>评审报告（意见）</w:t>
      </w:r>
      <w:r>
        <w:rPr>
          <w:rFonts w:ascii="Times New Roman" w:hAnsi="Times New Roman" w:eastAsia="仿宋" w:cs="Times New Roman"/>
          <w:color w:val="auto"/>
          <w:sz w:val="32"/>
          <w:szCs w:val="32"/>
        </w:rPr>
        <w:t>。</w:t>
      </w:r>
    </w:p>
    <w:p w14:paraId="5D9D0D06">
      <w:pPr>
        <w:keepNext w:val="0"/>
        <w:keepLines w:val="0"/>
        <w:pageBreakBefore w:val="0"/>
        <w:kinsoku/>
        <w:wordWrap/>
        <w:overflowPunct/>
        <w:topLinePunct w:val="0"/>
        <w:autoSpaceDE/>
        <w:bidi w:val="0"/>
        <w:adjustRightInd/>
        <w:snapToGrid/>
        <w:spacing w:line="660" w:lineRule="exact"/>
        <w:ind w:firstLine="643" w:firstLineChars="200"/>
        <w:jc w:val="both"/>
        <w:textAlignment w:val="auto"/>
        <w:rPr>
          <w:rFonts w:hint="eastAsia" w:ascii="仿宋" w:hAnsi="仿宋" w:eastAsia="仿宋" w:cs="仿宋"/>
          <w:color w:val="auto"/>
          <w:sz w:val="32"/>
          <w:szCs w:val="32"/>
          <w:shd w:val="clear" w:color="auto" w:fill="FFFFFF"/>
        </w:rPr>
      </w:pPr>
      <w:r>
        <w:rPr>
          <w:rFonts w:ascii="Times New Roman" w:hAnsi="Times New Roman" w:eastAsia="仿宋" w:cs="Times New Roman"/>
          <w:b/>
          <w:bCs/>
          <w:color w:val="auto"/>
          <w:sz w:val="32"/>
          <w:szCs w:val="32"/>
        </w:rPr>
        <w:t>第九条</w:t>
      </w:r>
      <w:r>
        <w:rPr>
          <w:rFonts w:hint="eastAsia" w:ascii="Times New Roman" w:hAnsi="Times New Roman" w:eastAsia="仿宋" w:cs="Times New Roman"/>
          <w:color w:val="auto"/>
          <w:sz w:val="32"/>
          <w:szCs w:val="32"/>
        </w:rPr>
        <w:t xml:space="preserve"> </w:t>
      </w:r>
      <w:r>
        <w:rPr>
          <w:rFonts w:hint="eastAsia" w:ascii="仿宋" w:hAnsi="仿宋" w:eastAsia="仿宋" w:cs="仿宋"/>
          <w:color w:val="auto"/>
          <w:sz w:val="32"/>
          <w:szCs w:val="32"/>
          <w:shd w:val="clear" w:color="auto" w:fill="FFFFFF"/>
        </w:rPr>
        <w:t>申报单位必须为申报成果第一完成单位，且为第一完成人所在单位。两个以上单位合作完成的成果，应由第一完成单位与其他完成单位协商一致后，由第一完成单位提请申报。</w:t>
      </w:r>
    </w:p>
    <w:p w14:paraId="25925A10">
      <w:pPr>
        <w:keepNext w:val="0"/>
        <w:keepLines w:val="0"/>
        <w:pageBreakBefore w:val="0"/>
        <w:kinsoku/>
        <w:wordWrap/>
        <w:overflowPunct/>
        <w:topLinePunct w:val="0"/>
        <w:autoSpaceDE/>
        <w:bidi w:val="0"/>
        <w:adjustRightInd/>
        <w:snapToGrid/>
        <w:spacing w:line="660"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同一工程项目，项目实施包含多个阶段，在各阶段分别形成成果的，项目优秀成果奖申报时，应将各阶段成果进行有机整合成一个项目进行申报。</w:t>
      </w:r>
    </w:p>
    <w:p w14:paraId="4ECE7391">
      <w:pPr>
        <w:keepNext w:val="0"/>
        <w:keepLines w:val="0"/>
        <w:pageBreakBefore w:val="0"/>
        <w:kinsoku/>
        <w:wordWrap/>
        <w:overflowPunct/>
        <w:topLinePunct w:val="0"/>
        <w:autoSpaceDE/>
        <w:bidi w:val="0"/>
        <w:adjustRightInd/>
        <w:snapToGrid/>
        <w:spacing w:line="660" w:lineRule="exact"/>
        <w:ind w:firstLine="643" w:firstLineChars="200"/>
        <w:jc w:val="both"/>
        <w:textAlignment w:val="auto"/>
        <w:rPr>
          <w:rFonts w:ascii="Times New Roman" w:hAnsi="Times New Roman" w:eastAsia="仿宋" w:cs="Times New Roman"/>
          <w:sz w:val="32"/>
          <w:szCs w:val="32"/>
        </w:rPr>
      </w:pPr>
      <w:r>
        <w:rPr>
          <w:rFonts w:ascii="Times New Roman" w:hAnsi="Times New Roman" w:eastAsia="仿宋" w:cs="Times New Roman"/>
          <w:b/>
          <w:bCs/>
          <w:sz w:val="32"/>
          <w:szCs w:val="32"/>
        </w:rPr>
        <w:t>第十条</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优秀成果奖申报时，申报单位应填写《湖南省土地工程优秀成果奖评选申报表》一式两份，同时提交以下附件材料：</w:t>
      </w:r>
    </w:p>
    <w:p w14:paraId="2A73E889">
      <w:pPr>
        <w:keepNext w:val="0"/>
        <w:keepLines w:val="0"/>
        <w:pageBreakBefore w:val="0"/>
        <w:kinsoku/>
        <w:wordWrap/>
        <w:overflowPunct/>
        <w:topLinePunct w:val="0"/>
        <w:autoSpaceDE/>
        <w:bidi w:val="0"/>
        <w:adjustRightInd/>
        <w:snapToGrid/>
        <w:spacing w:line="660" w:lineRule="exact"/>
        <w:ind w:firstLine="640" w:firstLineChars="200"/>
        <w:jc w:val="both"/>
        <w:textAlignment w:val="auto"/>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eastAsia="仿宋" w:cs="Times New Roman"/>
          <w:sz w:val="32"/>
          <w:szCs w:val="32"/>
          <w:lang w:val="en-US" w:eastAsia="zh-CN"/>
        </w:rPr>
        <w:t>.</w:t>
      </w:r>
      <w:r>
        <w:rPr>
          <w:rFonts w:ascii="Times New Roman" w:hAnsi="Times New Roman" w:eastAsia="仿宋" w:cs="Times New Roman"/>
          <w:sz w:val="32"/>
          <w:szCs w:val="32"/>
        </w:rPr>
        <w:t>参评项目简介材料；</w:t>
      </w:r>
    </w:p>
    <w:p w14:paraId="7F07485C">
      <w:pPr>
        <w:keepNext w:val="0"/>
        <w:keepLines w:val="0"/>
        <w:pageBreakBefore w:val="0"/>
        <w:kinsoku/>
        <w:wordWrap/>
        <w:overflowPunct/>
        <w:topLinePunct w:val="0"/>
        <w:autoSpaceDE/>
        <w:bidi w:val="0"/>
        <w:adjustRightInd/>
        <w:snapToGrid/>
        <w:spacing w:line="660" w:lineRule="exact"/>
        <w:ind w:firstLine="640" w:firstLineChars="200"/>
        <w:jc w:val="both"/>
        <w:textAlignment w:val="auto"/>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eastAsia="仿宋" w:cs="Times New Roman"/>
          <w:sz w:val="32"/>
          <w:szCs w:val="32"/>
          <w:lang w:val="en-US" w:eastAsia="zh-CN"/>
        </w:rPr>
        <w:t>.</w:t>
      </w:r>
      <w:r>
        <w:rPr>
          <w:rFonts w:ascii="Times New Roman" w:hAnsi="Times New Roman" w:eastAsia="仿宋" w:cs="Times New Roman"/>
          <w:sz w:val="32"/>
          <w:szCs w:val="32"/>
        </w:rPr>
        <w:t>项目立项证明（任务书或者合同书、投资方证明）；</w:t>
      </w:r>
    </w:p>
    <w:p w14:paraId="135C82CF">
      <w:pPr>
        <w:keepNext w:val="0"/>
        <w:keepLines w:val="0"/>
        <w:pageBreakBefore w:val="0"/>
        <w:kinsoku/>
        <w:wordWrap/>
        <w:overflowPunct/>
        <w:topLinePunct w:val="0"/>
        <w:autoSpaceDE/>
        <w:bidi w:val="0"/>
        <w:adjustRightInd/>
        <w:snapToGrid/>
        <w:spacing w:line="660" w:lineRule="exact"/>
        <w:ind w:firstLine="640" w:firstLineChars="200"/>
        <w:jc w:val="both"/>
        <w:textAlignment w:val="auto"/>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eastAsia="仿宋" w:cs="Times New Roman"/>
          <w:sz w:val="32"/>
          <w:szCs w:val="32"/>
          <w:lang w:val="en-US" w:eastAsia="zh-CN"/>
        </w:rPr>
        <w:t>.</w:t>
      </w:r>
      <w:r>
        <w:rPr>
          <w:rFonts w:ascii="Times New Roman" w:hAnsi="Times New Roman" w:eastAsia="仿宋" w:cs="Times New Roman"/>
          <w:sz w:val="32"/>
          <w:szCs w:val="32"/>
        </w:rPr>
        <w:t>咨询服务技术成果；</w:t>
      </w:r>
    </w:p>
    <w:p w14:paraId="017E453B">
      <w:pPr>
        <w:keepNext w:val="0"/>
        <w:keepLines w:val="0"/>
        <w:pageBreakBefore w:val="0"/>
        <w:kinsoku/>
        <w:wordWrap/>
        <w:overflowPunct/>
        <w:topLinePunct w:val="0"/>
        <w:autoSpaceDE/>
        <w:bidi w:val="0"/>
        <w:adjustRightInd/>
        <w:snapToGrid/>
        <w:spacing w:line="660" w:lineRule="exact"/>
        <w:ind w:firstLine="640" w:firstLineChars="200"/>
        <w:jc w:val="both"/>
        <w:textAlignment w:val="auto"/>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eastAsia="仿宋" w:cs="Times New Roman"/>
          <w:sz w:val="32"/>
          <w:szCs w:val="32"/>
          <w:lang w:val="en-US" w:eastAsia="zh-CN"/>
        </w:rPr>
        <w:t>.</w:t>
      </w:r>
      <w:r>
        <w:rPr>
          <w:rFonts w:ascii="Times New Roman" w:hAnsi="Times New Roman" w:eastAsia="仿宋" w:cs="Times New Roman"/>
          <w:sz w:val="32"/>
          <w:szCs w:val="32"/>
        </w:rPr>
        <w:t>项目技术工作总结；</w:t>
      </w:r>
    </w:p>
    <w:p w14:paraId="474360EF">
      <w:pPr>
        <w:keepNext w:val="0"/>
        <w:keepLines w:val="0"/>
        <w:pageBreakBefore w:val="0"/>
        <w:kinsoku/>
        <w:wordWrap/>
        <w:overflowPunct/>
        <w:topLinePunct w:val="0"/>
        <w:autoSpaceDE/>
        <w:bidi w:val="0"/>
        <w:adjustRightInd/>
        <w:snapToGrid/>
        <w:spacing w:line="660" w:lineRule="exact"/>
        <w:ind w:firstLine="640" w:firstLineChars="200"/>
        <w:jc w:val="both"/>
        <w:textAlignment w:val="auto"/>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eastAsia="仿宋" w:cs="Times New Roman"/>
          <w:sz w:val="32"/>
          <w:szCs w:val="32"/>
          <w:lang w:val="en-US" w:eastAsia="zh-CN"/>
        </w:rPr>
        <w:t>.</w:t>
      </w:r>
      <w:r>
        <w:rPr>
          <w:rFonts w:ascii="Times New Roman" w:hAnsi="Times New Roman" w:eastAsia="仿宋" w:cs="Times New Roman"/>
          <w:sz w:val="32"/>
          <w:szCs w:val="32"/>
        </w:rPr>
        <w:t>质检报告、验</w:t>
      </w:r>
      <w:r>
        <w:rPr>
          <w:rFonts w:ascii="Times New Roman" w:hAnsi="Times New Roman" w:eastAsia="仿宋" w:cs="Times New Roman"/>
          <w:color w:val="auto"/>
          <w:sz w:val="32"/>
          <w:szCs w:val="32"/>
        </w:rPr>
        <w:t>收报告或</w:t>
      </w:r>
      <w:r>
        <w:rPr>
          <w:rFonts w:hint="eastAsia" w:ascii="Times New Roman" w:hAnsi="Times New Roman" w:eastAsia="仿宋" w:cs="Times New Roman"/>
          <w:color w:val="auto"/>
          <w:sz w:val="32"/>
          <w:szCs w:val="32"/>
          <w:lang w:eastAsia="zh-CN"/>
        </w:rPr>
        <w:t>评审报告（意见）</w:t>
      </w:r>
      <w:r>
        <w:rPr>
          <w:rFonts w:ascii="Times New Roman" w:hAnsi="Times New Roman" w:eastAsia="仿宋" w:cs="Times New Roman"/>
          <w:color w:val="auto"/>
          <w:sz w:val="32"/>
          <w:szCs w:val="32"/>
        </w:rPr>
        <w:t>；</w:t>
      </w:r>
    </w:p>
    <w:p w14:paraId="55F42430">
      <w:pPr>
        <w:keepNext w:val="0"/>
        <w:keepLines w:val="0"/>
        <w:pageBreakBefore w:val="0"/>
        <w:kinsoku/>
        <w:wordWrap/>
        <w:overflowPunct/>
        <w:topLinePunct w:val="0"/>
        <w:autoSpaceDE/>
        <w:bidi w:val="0"/>
        <w:adjustRightInd/>
        <w:snapToGrid/>
        <w:spacing w:line="660" w:lineRule="exact"/>
        <w:ind w:firstLine="640" w:firstLineChars="200"/>
        <w:jc w:val="both"/>
        <w:textAlignment w:val="auto"/>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eastAsia="仿宋" w:cs="Times New Roman"/>
          <w:sz w:val="32"/>
          <w:szCs w:val="32"/>
          <w:lang w:val="en-US" w:eastAsia="zh-CN"/>
        </w:rPr>
        <w:t>.</w:t>
      </w:r>
      <w:r>
        <w:rPr>
          <w:rFonts w:ascii="Times New Roman" w:hAnsi="Times New Roman" w:eastAsia="仿宋" w:cs="Times New Roman"/>
          <w:sz w:val="32"/>
          <w:szCs w:val="32"/>
        </w:rPr>
        <w:t>其他相关证明材料。</w:t>
      </w:r>
    </w:p>
    <w:p w14:paraId="04DB76C3">
      <w:pPr>
        <w:keepNext w:val="0"/>
        <w:keepLines w:val="0"/>
        <w:pageBreakBefore w:val="0"/>
        <w:widowControl/>
        <w:shd w:val="clear" w:color="auto" w:fill="FFFFFF"/>
        <w:kinsoku/>
        <w:wordWrap/>
        <w:overflowPunct/>
        <w:topLinePunct w:val="0"/>
        <w:autoSpaceDE/>
        <w:bidi w:val="0"/>
        <w:adjustRightInd/>
        <w:snapToGrid/>
        <w:spacing w:before="0" w:beforeAutospacing="0" w:after="0" w:afterAutospacing="0" w:line="660" w:lineRule="exact"/>
        <w:ind w:firstLine="643"/>
        <w:jc w:val="both"/>
        <w:textAlignment w:val="auto"/>
        <w:rPr>
          <w:rFonts w:ascii="Times New Roman" w:hAnsi="Times New Roman" w:eastAsia="仿宋" w:cs="Times New Roman"/>
          <w:kern w:val="0"/>
          <w:sz w:val="32"/>
          <w:szCs w:val="32"/>
          <w:lang w:val="en-US" w:eastAsia="zh-CN" w:bidi="ar-SA"/>
        </w:rPr>
      </w:pPr>
      <w:r>
        <w:rPr>
          <w:rFonts w:hint="eastAsia" w:ascii="仿宋" w:hAnsi="仿宋" w:eastAsia="仿宋" w:cs="仿宋"/>
          <w:b/>
          <w:bCs/>
          <w:color w:val="auto"/>
          <w:kern w:val="0"/>
          <w:sz w:val="32"/>
          <w:szCs w:val="32"/>
          <w:shd w:val="clear" w:color="auto" w:fill="FFFFFF"/>
          <w:lang w:val="en-US" w:eastAsia="zh-CN" w:bidi="ar-SA"/>
        </w:rPr>
        <w:t xml:space="preserve">第十一条 </w:t>
      </w:r>
      <w:r>
        <w:rPr>
          <w:rFonts w:hint="eastAsia" w:ascii="仿宋" w:hAnsi="仿宋" w:eastAsia="仿宋" w:cs="仿宋"/>
          <w:color w:val="auto"/>
          <w:kern w:val="0"/>
          <w:sz w:val="32"/>
          <w:szCs w:val="32"/>
          <w:shd w:val="clear" w:color="auto" w:fill="FFFFFF"/>
          <w:lang w:val="en-US" w:eastAsia="zh-CN" w:bidi="ar-SA"/>
        </w:rPr>
        <w:t>已获得国家、省级其他奖项的项目成果，不再参与评奖；已获得市级其他奖项的项目可参与评奖。</w:t>
      </w:r>
    </w:p>
    <w:p w14:paraId="3F435DDA">
      <w:pPr>
        <w:keepNext w:val="0"/>
        <w:keepLines w:val="0"/>
        <w:pageBreakBefore w:val="0"/>
        <w:widowControl/>
        <w:shd w:val="clear" w:color="auto" w:fill="FFFFFF"/>
        <w:kinsoku/>
        <w:wordWrap/>
        <w:overflowPunct/>
        <w:topLinePunct w:val="0"/>
        <w:autoSpaceDE/>
        <w:bidi w:val="0"/>
        <w:adjustRightInd/>
        <w:snapToGrid/>
        <w:spacing w:before="0" w:beforeAutospacing="0" w:after="0" w:afterAutospacing="0" w:line="660" w:lineRule="exact"/>
        <w:ind w:firstLine="643"/>
        <w:jc w:val="both"/>
        <w:textAlignment w:val="auto"/>
        <w:rPr>
          <w:rFonts w:ascii="仿宋" w:hAnsi="仿宋" w:eastAsia="仿宋" w:cs="仿宋"/>
          <w:color w:val="auto"/>
          <w:kern w:val="0"/>
          <w:sz w:val="32"/>
          <w:szCs w:val="32"/>
          <w:shd w:val="clear" w:color="auto" w:fill="FFFFFF"/>
          <w:lang w:val="en-US" w:eastAsia="zh-CN" w:bidi="ar-SA"/>
        </w:rPr>
      </w:pPr>
      <w:r>
        <w:rPr>
          <w:rFonts w:hint="eastAsia" w:ascii="仿宋" w:hAnsi="仿宋" w:eastAsia="仿宋" w:cs="仿宋"/>
          <w:b/>
          <w:bCs/>
          <w:color w:val="auto"/>
          <w:kern w:val="0"/>
          <w:sz w:val="32"/>
          <w:szCs w:val="32"/>
          <w:shd w:val="clear" w:color="auto" w:fill="FFFFFF"/>
          <w:lang w:val="en-US" w:eastAsia="zh-CN" w:bidi="ar-SA"/>
        </w:rPr>
        <w:t>第十二条</w:t>
      </w:r>
      <w:r>
        <w:rPr>
          <w:rFonts w:hint="eastAsia" w:ascii="仿宋" w:hAnsi="仿宋" w:eastAsia="仿宋" w:cs="仿宋"/>
          <w:color w:val="auto"/>
          <w:kern w:val="0"/>
          <w:sz w:val="32"/>
          <w:szCs w:val="32"/>
          <w:shd w:val="clear" w:color="auto" w:fill="FFFFFF"/>
          <w:lang w:val="en-US" w:eastAsia="zh-CN" w:bidi="ar-SA"/>
        </w:rPr>
        <w:t xml:space="preserve"> 设有密级的申报成果，申报单位应按保密要求对其成果作必要的处理后再申报。</w:t>
      </w:r>
    </w:p>
    <w:p w14:paraId="7A594EE0">
      <w:pPr>
        <w:keepNext w:val="0"/>
        <w:keepLines w:val="0"/>
        <w:pageBreakBefore w:val="0"/>
        <w:kinsoku/>
        <w:wordWrap/>
        <w:overflowPunct/>
        <w:topLinePunct w:val="0"/>
        <w:autoSpaceDE/>
        <w:bidi w:val="0"/>
        <w:adjustRightInd/>
        <w:snapToGrid/>
        <w:spacing w:line="660" w:lineRule="exact"/>
        <w:jc w:val="center"/>
        <w:textAlignment w:val="auto"/>
        <w:rPr>
          <w:rFonts w:ascii="黑体" w:hAnsi="黑体" w:eastAsia="黑体" w:cs="Times New Roman"/>
          <w:sz w:val="32"/>
          <w:szCs w:val="32"/>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黑体" w:hAnsi="黑体" w:eastAsia="黑体" w:cs="黑体"/>
          <w:sz w:val="32"/>
          <w:szCs w:val="32"/>
        </w:rPr>
        <w:t>形式审查</w:t>
      </w:r>
    </w:p>
    <w:p w14:paraId="39DE1CFE">
      <w:pPr>
        <w:keepNext w:val="0"/>
        <w:keepLines w:val="0"/>
        <w:pageBreakBefore w:val="0"/>
        <w:kinsoku/>
        <w:wordWrap/>
        <w:overflowPunct/>
        <w:topLinePunct w:val="0"/>
        <w:autoSpaceDE/>
        <w:bidi w:val="0"/>
        <w:adjustRightInd/>
        <w:snapToGrid/>
        <w:spacing w:line="660" w:lineRule="exact"/>
        <w:ind w:firstLine="643" w:firstLineChars="200"/>
        <w:jc w:val="both"/>
        <w:textAlignment w:val="auto"/>
        <w:rPr>
          <w:rFonts w:ascii="仿宋" w:hAnsi="仿宋" w:eastAsia="仿宋" w:cs="Times New Roman"/>
          <w:color w:val="auto"/>
          <w:sz w:val="32"/>
          <w:szCs w:val="32"/>
        </w:rPr>
      </w:pPr>
      <w:r>
        <w:rPr>
          <w:rFonts w:hint="eastAsia" w:ascii="仿宋" w:hAnsi="仿宋" w:eastAsia="仿宋" w:cs="仿宋"/>
          <w:b/>
          <w:bCs/>
          <w:sz w:val="32"/>
          <w:szCs w:val="32"/>
        </w:rPr>
        <w:t>第</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shd w:val="clear" w:color="auto" w:fill="FFFFFF"/>
          <w:lang w:eastAsia="zh-CN"/>
        </w:rPr>
        <w:t>三</w:t>
      </w:r>
      <w:r>
        <w:rPr>
          <w:rFonts w:hint="eastAsia" w:ascii="仿宋" w:hAnsi="仿宋" w:eastAsia="仿宋" w:cs="仿宋"/>
          <w:b/>
          <w:bCs/>
          <w:color w:val="auto"/>
          <w:sz w:val="32"/>
          <w:szCs w:val="32"/>
        </w:rPr>
        <w:t>条</w:t>
      </w:r>
      <w:r>
        <w:rPr>
          <w:rFonts w:hint="eastAsia" w:ascii="仿宋" w:hAnsi="仿宋" w:eastAsia="仿宋" w:cs="Times New Roman"/>
          <w:color w:val="auto"/>
          <w:sz w:val="32"/>
          <w:szCs w:val="32"/>
        </w:rPr>
        <w:t xml:space="preserve"> </w:t>
      </w:r>
      <w:r>
        <w:rPr>
          <w:rFonts w:hint="eastAsia" w:ascii="仿宋" w:hAnsi="仿宋" w:eastAsia="仿宋" w:cs="仿宋"/>
          <w:color w:val="auto"/>
          <w:sz w:val="32"/>
          <w:szCs w:val="32"/>
        </w:rPr>
        <w:t>秘书处负责优秀成果奖申报材料的受理和形式审查工作。</w:t>
      </w:r>
    </w:p>
    <w:p w14:paraId="01E4F97E">
      <w:pPr>
        <w:keepNext w:val="0"/>
        <w:keepLines w:val="0"/>
        <w:pageBreakBefore w:val="0"/>
        <w:kinsoku/>
        <w:wordWrap/>
        <w:overflowPunct/>
        <w:topLinePunct w:val="0"/>
        <w:autoSpaceDE/>
        <w:bidi w:val="0"/>
        <w:adjustRightInd/>
        <w:snapToGrid/>
        <w:spacing w:line="660" w:lineRule="exact"/>
        <w:ind w:firstLine="643" w:firstLineChars="200"/>
        <w:jc w:val="both"/>
        <w:textAlignment w:val="auto"/>
        <w:rPr>
          <w:rFonts w:ascii="仿宋" w:hAnsi="仿宋" w:eastAsia="仿宋" w:cs="Times New Roman"/>
          <w:sz w:val="32"/>
          <w:szCs w:val="32"/>
        </w:rPr>
      </w:pPr>
      <w:r>
        <w:rPr>
          <w:rFonts w:hint="eastAsia" w:ascii="仿宋" w:hAnsi="仿宋" w:eastAsia="仿宋" w:cs="仿宋"/>
          <w:b/>
          <w:bCs/>
          <w:color w:val="auto"/>
          <w:sz w:val="32"/>
          <w:szCs w:val="32"/>
        </w:rPr>
        <w:t>第十四条</w:t>
      </w:r>
      <w:r>
        <w:rPr>
          <w:rFonts w:hint="eastAsia" w:ascii="仿宋" w:hAnsi="仿宋" w:eastAsia="仿宋" w:cs="Times New Roman"/>
          <w:color w:val="auto"/>
          <w:sz w:val="32"/>
          <w:szCs w:val="32"/>
        </w:rPr>
        <w:t xml:space="preserve"> </w:t>
      </w:r>
      <w:r>
        <w:rPr>
          <w:rFonts w:hint="eastAsia" w:ascii="仿宋" w:hAnsi="仿宋" w:eastAsia="仿宋" w:cs="仿宋"/>
          <w:color w:val="auto"/>
          <w:sz w:val="32"/>
          <w:szCs w:val="32"/>
        </w:rPr>
        <w:t>形式审查主要</w:t>
      </w:r>
      <w:r>
        <w:rPr>
          <w:rFonts w:hint="eastAsia" w:ascii="仿宋" w:hAnsi="仿宋" w:eastAsia="仿宋" w:cs="仿宋"/>
          <w:sz w:val="32"/>
          <w:szCs w:val="32"/>
        </w:rPr>
        <w:t>内容包括参评单位是否符合规定要求；参评项目资料是否齐全；是否符合当年参评优秀成果奖通知中所明确的有关规定等。</w:t>
      </w:r>
    </w:p>
    <w:p w14:paraId="02DE3CEA">
      <w:pPr>
        <w:keepNext w:val="0"/>
        <w:keepLines w:val="0"/>
        <w:pageBreakBefore w:val="0"/>
        <w:kinsoku/>
        <w:wordWrap/>
        <w:overflowPunct/>
        <w:topLinePunct w:val="0"/>
        <w:autoSpaceDE/>
        <w:bidi w:val="0"/>
        <w:adjustRightInd/>
        <w:snapToGrid/>
        <w:spacing w:line="660" w:lineRule="exact"/>
        <w:ind w:firstLine="643" w:firstLineChars="200"/>
        <w:jc w:val="both"/>
        <w:textAlignment w:val="auto"/>
        <w:rPr>
          <w:rFonts w:ascii="仿宋" w:hAnsi="仿宋" w:eastAsia="仿宋" w:cs="Times New Roman"/>
          <w:spacing w:val="-6"/>
          <w:sz w:val="32"/>
          <w:szCs w:val="32"/>
        </w:rPr>
      </w:pPr>
      <w:r>
        <w:rPr>
          <w:rFonts w:hint="eastAsia" w:ascii="仿宋" w:hAnsi="仿宋" w:eastAsia="仿宋" w:cs="仿宋"/>
          <w:b/>
          <w:bCs/>
          <w:sz w:val="32"/>
          <w:szCs w:val="32"/>
        </w:rPr>
        <w:t>第十五条</w:t>
      </w:r>
      <w:r>
        <w:rPr>
          <w:rFonts w:hint="eastAsia" w:ascii="仿宋" w:hAnsi="仿宋" w:eastAsia="仿宋" w:cs="Times New Roman"/>
          <w:sz w:val="32"/>
          <w:szCs w:val="32"/>
        </w:rPr>
        <w:t xml:space="preserve"> </w:t>
      </w:r>
      <w:r>
        <w:rPr>
          <w:rFonts w:hint="eastAsia" w:ascii="仿宋" w:hAnsi="仿宋" w:eastAsia="仿宋" w:cs="仿宋"/>
          <w:spacing w:val="-6"/>
          <w:sz w:val="32"/>
          <w:szCs w:val="32"/>
        </w:rPr>
        <w:t>经形式审查认为不符合规定的参评材料，由秘书处通知申报单位在规定的时间内予以补正，逾期不补正或经补正仍不符合要求的，不予受理。对形式审查合格后的参评材料，提交评选。</w:t>
      </w:r>
    </w:p>
    <w:p w14:paraId="110F2F10">
      <w:pPr>
        <w:keepNext w:val="0"/>
        <w:keepLines w:val="0"/>
        <w:pageBreakBefore w:val="0"/>
        <w:kinsoku/>
        <w:wordWrap/>
        <w:overflowPunct/>
        <w:topLinePunct w:val="0"/>
        <w:autoSpaceDE/>
        <w:bidi w:val="0"/>
        <w:adjustRightInd/>
        <w:snapToGrid/>
        <w:spacing w:line="660" w:lineRule="exact"/>
        <w:jc w:val="center"/>
        <w:textAlignment w:val="auto"/>
        <w:rPr>
          <w:rFonts w:ascii="黑体" w:hAnsi="黑体" w:eastAsia="黑体" w:cs="Times New Roman"/>
          <w:sz w:val="32"/>
          <w:szCs w:val="32"/>
        </w:rPr>
      </w:pPr>
      <w:r>
        <w:rPr>
          <w:rFonts w:hint="eastAsia" w:ascii="黑体" w:hAnsi="黑体" w:eastAsia="黑体" w:cs="黑体"/>
          <w:sz w:val="32"/>
          <w:szCs w:val="32"/>
        </w:rPr>
        <w:t>第五章</w:t>
      </w:r>
      <w:r>
        <w:rPr>
          <w:rFonts w:ascii="黑体" w:hAnsi="黑体" w:eastAsia="黑体" w:cs="黑体"/>
          <w:sz w:val="32"/>
          <w:szCs w:val="32"/>
        </w:rPr>
        <w:t xml:space="preserve">  </w:t>
      </w:r>
      <w:r>
        <w:rPr>
          <w:rFonts w:hint="eastAsia" w:ascii="黑体" w:hAnsi="黑体" w:eastAsia="黑体" w:cs="黑体"/>
          <w:sz w:val="32"/>
          <w:szCs w:val="32"/>
        </w:rPr>
        <w:t>评选程序</w:t>
      </w:r>
    </w:p>
    <w:p w14:paraId="386C9945">
      <w:pPr>
        <w:keepNext w:val="0"/>
        <w:keepLines w:val="0"/>
        <w:pageBreakBefore w:val="0"/>
        <w:kinsoku/>
        <w:wordWrap/>
        <w:overflowPunct/>
        <w:topLinePunct w:val="0"/>
        <w:autoSpaceDE/>
        <w:bidi w:val="0"/>
        <w:adjustRightInd/>
        <w:snapToGrid/>
        <w:spacing w:line="660" w:lineRule="exact"/>
        <w:ind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Times New Roman"/>
          <w:sz w:val="32"/>
          <w:szCs w:val="32"/>
        </w:rPr>
        <w:t xml:space="preserve"> </w:t>
      </w:r>
      <w:r>
        <w:rPr>
          <w:rFonts w:hint="eastAsia" w:ascii="仿宋" w:hAnsi="仿宋" w:eastAsia="仿宋" w:cs="仿宋"/>
          <w:sz w:val="32"/>
          <w:szCs w:val="32"/>
        </w:rPr>
        <w:t>优秀成果奖评选由主审专家初评和评选委员会会审两个环节组成。</w:t>
      </w:r>
    </w:p>
    <w:p w14:paraId="42CE30BA">
      <w:pPr>
        <w:keepNext w:val="0"/>
        <w:keepLines w:val="0"/>
        <w:pageBreakBefore w:val="0"/>
        <w:widowControl/>
        <w:shd w:val="clear" w:color="auto" w:fill="FFFFFF"/>
        <w:kinsoku/>
        <w:wordWrap/>
        <w:overflowPunct/>
        <w:topLinePunct w:val="0"/>
        <w:autoSpaceDE/>
        <w:bidi w:val="0"/>
        <w:adjustRightInd/>
        <w:snapToGrid/>
        <w:spacing w:before="225" w:beforeAutospacing="0" w:after="0" w:afterAutospacing="0" w:line="660" w:lineRule="exact"/>
        <w:ind w:firstLine="643"/>
        <w:jc w:val="both"/>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b/>
          <w:bCs/>
          <w:color w:val="auto"/>
          <w:kern w:val="0"/>
          <w:sz w:val="32"/>
          <w:szCs w:val="32"/>
          <w:shd w:val="clear" w:color="auto" w:fill="FFFFFF"/>
          <w:lang w:val="en-US" w:eastAsia="zh-CN" w:bidi="ar-SA"/>
        </w:rPr>
        <w:t>第十</w:t>
      </w:r>
      <w:r>
        <w:rPr>
          <w:rFonts w:hint="eastAsia" w:ascii="仿宋" w:hAnsi="仿宋" w:eastAsia="仿宋" w:cs="仿宋"/>
          <w:b/>
          <w:bCs/>
          <w:color w:val="auto"/>
          <w:kern w:val="0"/>
          <w:sz w:val="32"/>
          <w:szCs w:val="32"/>
          <w:lang w:val="en-US" w:eastAsia="zh-CN" w:bidi="ar-SA"/>
        </w:rPr>
        <w:t>七</w:t>
      </w:r>
      <w:r>
        <w:rPr>
          <w:rFonts w:hint="eastAsia" w:ascii="仿宋" w:hAnsi="仿宋" w:eastAsia="仿宋" w:cs="仿宋"/>
          <w:b/>
          <w:bCs/>
          <w:color w:val="auto"/>
          <w:kern w:val="0"/>
          <w:sz w:val="32"/>
          <w:szCs w:val="32"/>
          <w:shd w:val="clear" w:color="auto" w:fill="FFFFFF"/>
          <w:lang w:val="en-US" w:eastAsia="zh-CN" w:bidi="ar-SA"/>
        </w:rPr>
        <w:t>条</w:t>
      </w:r>
      <w:r>
        <w:rPr>
          <w:rFonts w:hint="eastAsia" w:ascii="仿宋" w:hAnsi="仿宋" w:eastAsia="仿宋" w:cs="仿宋"/>
          <w:color w:val="auto"/>
          <w:kern w:val="0"/>
          <w:sz w:val="32"/>
          <w:szCs w:val="32"/>
          <w:shd w:val="clear" w:color="auto" w:fill="FFFFFF"/>
          <w:lang w:val="en-US" w:eastAsia="zh-CN" w:bidi="ar-SA"/>
        </w:rPr>
        <w:t xml:space="preserve"> 组织评审实行匿名制和专家回避制。评审专家不得泄露评审过程中的情况及未经批准的评审结果。申报成果主要完成人不得参加当年评审专家组。</w:t>
      </w:r>
    </w:p>
    <w:p w14:paraId="762FAE4E">
      <w:pPr>
        <w:keepNext w:val="0"/>
        <w:keepLines w:val="0"/>
        <w:pageBreakBefore w:val="0"/>
        <w:kinsoku/>
        <w:wordWrap/>
        <w:overflowPunct/>
        <w:topLinePunct w:val="0"/>
        <w:autoSpaceDE/>
        <w:bidi w:val="0"/>
        <w:adjustRightInd/>
        <w:snapToGrid/>
        <w:spacing w:line="660" w:lineRule="exact"/>
        <w:ind w:firstLine="643" w:firstLineChars="200"/>
        <w:jc w:val="both"/>
        <w:textAlignment w:val="auto"/>
        <w:rPr>
          <w:rFonts w:ascii="仿宋" w:hAnsi="仿宋" w:eastAsia="仿宋" w:cs="Times New Roman"/>
          <w:sz w:val="32"/>
          <w:szCs w:val="32"/>
        </w:rPr>
      </w:pPr>
      <w:r>
        <w:rPr>
          <w:rFonts w:hint="eastAsia" w:ascii="仿宋" w:hAnsi="仿宋" w:eastAsia="仿宋" w:cs="仿宋"/>
          <w:b/>
          <w:bCs/>
          <w:sz w:val="32"/>
          <w:szCs w:val="32"/>
        </w:rPr>
        <w:t>第</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shd w:val="clear" w:color="auto" w:fill="FFFFFF"/>
        </w:rPr>
        <w:t>八</w:t>
      </w:r>
      <w:r>
        <w:rPr>
          <w:rFonts w:hint="eastAsia" w:ascii="仿宋" w:hAnsi="仿宋" w:eastAsia="仿宋" w:cs="仿宋"/>
          <w:b/>
          <w:bCs/>
          <w:color w:val="auto"/>
          <w:sz w:val="32"/>
          <w:szCs w:val="32"/>
        </w:rPr>
        <w:t>条</w:t>
      </w:r>
      <w:r>
        <w:rPr>
          <w:rFonts w:hint="eastAsia" w:ascii="Calibri" w:hAnsi="Calibri" w:eastAsia="仿宋" w:cs="Calibri"/>
          <w:color w:val="auto"/>
          <w:sz w:val="32"/>
          <w:szCs w:val="32"/>
        </w:rPr>
        <w:t xml:space="preserve"> </w:t>
      </w:r>
      <w:r>
        <w:rPr>
          <w:rFonts w:hint="eastAsia" w:ascii="仿宋" w:hAnsi="仿宋" w:eastAsia="仿宋" w:cs="Times New Roman"/>
          <w:color w:val="auto"/>
          <w:sz w:val="32"/>
          <w:szCs w:val="32"/>
        </w:rPr>
        <w:t>每个项目至少安</w:t>
      </w:r>
      <w:r>
        <w:rPr>
          <w:rFonts w:hint="default" w:ascii="Times New Roman" w:hAnsi="Times New Roman" w:eastAsia="仿宋" w:cs="Times New Roman"/>
          <w:color w:val="auto"/>
          <w:sz w:val="32"/>
          <w:szCs w:val="32"/>
        </w:rPr>
        <w:t>排</w:t>
      </w:r>
      <w:r>
        <w:rPr>
          <w:rFonts w:hint="eastAsia"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位</w:t>
      </w:r>
      <w:r>
        <w:rPr>
          <w:rFonts w:hint="eastAsia" w:ascii="仿宋" w:hAnsi="仿宋" w:eastAsia="仿宋" w:cs="Times New Roman"/>
          <w:color w:val="auto"/>
          <w:sz w:val="32"/>
          <w:szCs w:val="32"/>
        </w:rPr>
        <w:t>专家审查，其中</w:t>
      </w:r>
      <w:r>
        <w:rPr>
          <w:rFonts w:hint="default" w:ascii="Times New Roman" w:hAnsi="Times New Roman" w:eastAsia="仿宋" w:cs="Times New Roman"/>
          <w:color w:val="auto"/>
          <w:sz w:val="32"/>
          <w:szCs w:val="32"/>
        </w:rPr>
        <w:t>1人</w:t>
      </w:r>
      <w:r>
        <w:rPr>
          <w:rFonts w:hint="eastAsia" w:ascii="仿宋" w:hAnsi="仿宋" w:eastAsia="仿宋" w:cs="Times New Roman"/>
          <w:color w:val="auto"/>
          <w:sz w:val="32"/>
          <w:szCs w:val="32"/>
        </w:rPr>
        <w:t>主审，在形成专家个人审查评分意见基础上，由主审专家综合形成初评意见，并提出获奖等级建议。</w:t>
      </w:r>
    </w:p>
    <w:p w14:paraId="5D3A2706">
      <w:pPr>
        <w:keepNext w:val="0"/>
        <w:keepLines w:val="0"/>
        <w:pageBreakBefore w:val="0"/>
        <w:kinsoku/>
        <w:wordWrap/>
        <w:overflowPunct/>
        <w:topLinePunct w:val="0"/>
        <w:autoSpaceDE/>
        <w:bidi w:val="0"/>
        <w:adjustRightInd/>
        <w:snapToGrid/>
        <w:spacing w:line="660" w:lineRule="exact"/>
        <w:ind w:firstLine="643" w:firstLineChars="200"/>
        <w:jc w:val="both"/>
        <w:textAlignment w:val="auto"/>
        <w:rPr>
          <w:rFonts w:ascii="仿宋" w:hAnsi="仿宋" w:eastAsia="仿宋" w:cs="Times New Roman"/>
          <w:sz w:val="32"/>
          <w:szCs w:val="32"/>
        </w:rPr>
      </w:pPr>
      <w:r>
        <w:rPr>
          <w:rFonts w:hint="eastAsia" w:ascii="仿宋" w:hAnsi="仿宋" w:eastAsia="仿宋" w:cs="仿宋"/>
          <w:b/>
          <w:bCs/>
          <w:sz w:val="32"/>
          <w:szCs w:val="32"/>
        </w:rPr>
        <w:t>第十九条</w:t>
      </w:r>
      <w:r>
        <w:rPr>
          <w:rFonts w:hint="eastAsia" w:ascii="仿宋" w:hAnsi="仿宋" w:eastAsia="仿宋" w:cs="Times New Roman"/>
          <w:sz w:val="32"/>
          <w:szCs w:val="32"/>
        </w:rPr>
        <w:t xml:space="preserve"> </w:t>
      </w:r>
      <w:r>
        <w:rPr>
          <w:rFonts w:hint="eastAsia" w:ascii="仿宋" w:hAnsi="仿宋" w:eastAsia="仿宋" w:cs="仿宋"/>
          <w:sz w:val="32"/>
          <w:szCs w:val="32"/>
        </w:rPr>
        <w:t>秘书处对主审专家的初评结果进行汇总统计，作为评选委员会会审的基础性材料。</w:t>
      </w:r>
    </w:p>
    <w:p w14:paraId="123C4433">
      <w:pPr>
        <w:keepNext w:val="0"/>
        <w:keepLines w:val="0"/>
        <w:pageBreakBefore w:val="0"/>
        <w:kinsoku/>
        <w:wordWrap/>
        <w:overflowPunct/>
        <w:topLinePunct w:val="0"/>
        <w:autoSpaceDE/>
        <w:bidi w:val="0"/>
        <w:adjustRightInd/>
        <w:snapToGrid/>
        <w:spacing w:line="660" w:lineRule="exact"/>
        <w:ind w:firstLine="643" w:firstLineChars="200"/>
        <w:jc w:val="both"/>
        <w:textAlignment w:val="auto"/>
        <w:rPr>
          <w:rFonts w:ascii="仿宋" w:hAnsi="仿宋" w:eastAsia="仿宋" w:cs="Times New Roman"/>
          <w:sz w:val="32"/>
          <w:szCs w:val="32"/>
        </w:rPr>
      </w:pPr>
      <w:r>
        <w:rPr>
          <w:rFonts w:hint="eastAsia" w:ascii="仿宋" w:hAnsi="仿宋" w:eastAsia="仿宋" w:cs="仿宋"/>
          <w:b/>
          <w:bCs/>
          <w:sz w:val="32"/>
          <w:szCs w:val="32"/>
        </w:rPr>
        <w:t>第二十条</w:t>
      </w:r>
      <w:r>
        <w:rPr>
          <w:rFonts w:hint="eastAsia" w:ascii="仿宋" w:hAnsi="仿宋" w:eastAsia="仿宋" w:cs="Times New Roman"/>
          <w:sz w:val="32"/>
          <w:szCs w:val="32"/>
        </w:rPr>
        <w:t xml:space="preserve"> </w:t>
      </w:r>
      <w:r>
        <w:rPr>
          <w:rFonts w:hint="eastAsia" w:ascii="仿宋" w:hAnsi="仿宋" w:eastAsia="仿宋" w:cs="仿宋"/>
          <w:sz w:val="32"/>
          <w:szCs w:val="32"/>
        </w:rPr>
        <w:t>优秀成果奖评选会审由评选委员会主任主持。会议的内容和程序：听取秘书处报告形式审查和初评结果；会审项目材料及初评意见；投票表决确定评选结果。</w:t>
      </w:r>
    </w:p>
    <w:p w14:paraId="0AFA8A92">
      <w:pPr>
        <w:keepNext w:val="0"/>
        <w:keepLines w:val="0"/>
        <w:pageBreakBefore w:val="0"/>
        <w:kinsoku/>
        <w:wordWrap/>
        <w:overflowPunct/>
        <w:topLinePunct w:val="0"/>
        <w:autoSpaceDE/>
        <w:bidi w:val="0"/>
        <w:adjustRightInd/>
        <w:snapToGrid/>
        <w:spacing w:line="660" w:lineRule="exact"/>
        <w:ind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Times New Roman"/>
          <w:sz w:val="32"/>
          <w:szCs w:val="32"/>
        </w:rPr>
        <w:t xml:space="preserve"> </w:t>
      </w:r>
      <w:r>
        <w:rPr>
          <w:rFonts w:hint="eastAsia" w:ascii="仿宋" w:hAnsi="仿宋" w:eastAsia="仿宋" w:cs="仿宋"/>
          <w:sz w:val="32"/>
          <w:szCs w:val="32"/>
        </w:rPr>
        <w:t>评选结果在湖南省土地学会网站上予以公示，公示期</w:t>
      </w:r>
      <w:r>
        <w:rPr>
          <w:rFonts w:ascii="Times New Roman" w:hAnsi="Times New Roman" w:eastAsia="仿宋" w:cs="Times New Roman"/>
          <w:sz w:val="32"/>
          <w:szCs w:val="32"/>
        </w:rPr>
        <w:t>为10日。如有异议，自公示之日起10</w:t>
      </w:r>
      <w:r>
        <w:rPr>
          <w:rFonts w:hint="eastAsia" w:ascii="仿宋" w:hAnsi="仿宋" w:eastAsia="仿宋" w:cs="仿宋"/>
          <w:sz w:val="32"/>
          <w:szCs w:val="32"/>
        </w:rPr>
        <w:t>日内以书面形式提出，逾期不予受理。</w:t>
      </w:r>
    </w:p>
    <w:p w14:paraId="756E653E">
      <w:pPr>
        <w:keepNext w:val="0"/>
        <w:keepLines w:val="0"/>
        <w:pageBreakBefore w:val="0"/>
        <w:kinsoku/>
        <w:wordWrap/>
        <w:overflowPunct/>
        <w:topLinePunct w:val="0"/>
        <w:autoSpaceDE/>
        <w:bidi w:val="0"/>
        <w:adjustRightInd/>
        <w:snapToGrid/>
        <w:spacing w:line="660" w:lineRule="exact"/>
        <w:ind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Times New Roman"/>
          <w:sz w:val="32"/>
          <w:szCs w:val="32"/>
        </w:rPr>
        <w:t xml:space="preserve"> </w:t>
      </w:r>
      <w:r>
        <w:rPr>
          <w:rFonts w:hint="eastAsia" w:ascii="仿宋" w:hAnsi="仿宋" w:eastAsia="仿宋" w:cs="仿宋"/>
          <w:sz w:val="32"/>
          <w:szCs w:val="32"/>
        </w:rPr>
        <w:t>提出异议的单位、个人应当表明真实身份。个人提出异议的，应当在异议材料上签署真实姓名及联系方式。以单位名义提出异议的，应当加盖单位公章。</w:t>
      </w:r>
    </w:p>
    <w:p w14:paraId="17F3844C">
      <w:pPr>
        <w:keepNext w:val="0"/>
        <w:keepLines w:val="0"/>
        <w:pageBreakBefore w:val="0"/>
        <w:kinsoku/>
        <w:wordWrap/>
        <w:overflowPunct/>
        <w:topLinePunct w:val="0"/>
        <w:autoSpaceDE/>
        <w:bidi w:val="0"/>
        <w:adjustRightInd/>
        <w:snapToGrid/>
        <w:spacing w:line="660" w:lineRule="exact"/>
        <w:ind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Times New Roman"/>
          <w:sz w:val="32"/>
          <w:szCs w:val="32"/>
        </w:rPr>
        <w:t xml:space="preserve"> </w:t>
      </w:r>
      <w:r>
        <w:rPr>
          <w:rFonts w:hint="eastAsia" w:ascii="仿宋" w:hAnsi="仿宋" w:eastAsia="仿宋" w:cs="仿宋"/>
          <w:sz w:val="32"/>
          <w:szCs w:val="32"/>
        </w:rPr>
        <w:t>秘书处在接到异议材料后，应当对异议内容进行审查、核实，并向评选委员会报告异议核实情况及处理意见，提请评选委员会形成决定。</w:t>
      </w:r>
    </w:p>
    <w:p w14:paraId="72A7786A">
      <w:pPr>
        <w:keepNext w:val="0"/>
        <w:keepLines w:val="0"/>
        <w:pageBreakBefore w:val="0"/>
        <w:kinsoku/>
        <w:wordWrap/>
        <w:overflowPunct/>
        <w:topLinePunct w:val="0"/>
        <w:autoSpaceDE/>
        <w:bidi w:val="0"/>
        <w:adjustRightInd/>
        <w:snapToGrid/>
        <w:spacing w:line="660" w:lineRule="exact"/>
        <w:ind w:firstLine="640" w:firstLineChars="200"/>
        <w:jc w:val="left"/>
        <w:textAlignment w:val="auto"/>
        <w:rPr>
          <w:rFonts w:ascii="仿宋" w:hAnsi="仿宋" w:eastAsia="仿宋" w:cs="Times New Roman"/>
          <w:sz w:val="32"/>
          <w:szCs w:val="32"/>
        </w:rPr>
      </w:pPr>
    </w:p>
    <w:p w14:paraId="47895243">
      <w:pPr>
        <w:keepNext w:val="0"/>
        <w:keepLines w:val="0"/>
        <w:pageBreakBefore w:val="0"/>
        <w:kinsoku/>
        <w:wordWrap/>
        <w:overflowPunct/>
        <w:topLinePunct w:val="0"/>
        <w:autoSpaceDE/>
        <w:bidi w:val="0"/>
        <w:adjustRightInd/>
        <w:snapToGrid/>
        <w:spacing w:line="660" w:lineRule="exact"/>
        <w:jc w:val="center"/>
        <w:textAlignment w:val="auto"/>
        <w:rPr>
          <w:rFonts w:ascii="黑体" w:hAnsi="黑体" w:eastAsia="黑体" w:cs="Times New Roman"/>
          <w:sz w:val="32"/>
          <w:szCs w:val="32"/>
        </w:rPr>
      </w:pPr>
      <w:r>
        <w:rPr>
          <w:rFonts w:hint="eastAsia" w:ascii="黑体" w:hAnsi="黑体" w:eastAsia="黑体" w:cs="黑体"/>
          <w:sz w:val="32"/>
          <w:szCs w:val="32"/>
        </w:rPr>
        <w:t>第六章</w:t>
      </w:r>
      <w:r>
        <w:rPr>
          <w:rFonts w:ascii="黑体" w:hAnsi="黑体" w:eastAsia="黑体" w:cs="黑体"/>
          <w:sz w:val="32"/>
          <w:szCs w:val="32"/>
        </w:rPr>
        <w:t xml:space="preserve">  </w:t>
      </w:r>
      <w:r>
        <w:rPr>
          <w:rFonts w:hint="eastAsia" w:ascii="黑体" w:hAnsi="黑体" w:eastAsia="黑体" w:cs="黑体"/>
          <w:sz w:val="32"/>
          <w:szCs w:val="32"/>
        </w:rPr>
        <w:t>奖 励</w:t>
      </w:r>
    </w:p>
    <w:p w14:paraId="1E6C88AA">
      <w:pPr>
        <w:keepNext w:val="0"/>
        <w:keepLines w:val="0"/>
        <w:pageBreakBefore w:val="0"/>
        <w:kinsoku/>
        <w:wordWrap/>
        <w:overflowPunct/>
        <w:topLinePunct w:val="0"/>
        <w:autoSpaceDE/>
        <w:bidi w:val="0"/>
        <w:adjustRightInd/>
        <w:snapToGrid/>
        <w:spacing w:line="660" w:lineRule="exact"/>
        <w:ind w:firstLine="643" w:firstLineChars="200"/>
        <w:jc w:val="both"/>
        <w:textAlignment w:val="auto"/>
        <w:rPr>
          <w:rFonts w:ascii="仿宋" w:hAnsi="仿宋" w:eastAsia="仿宋" w:cs="Times New Roman"/>
          <w:sz w:val="32"/>
          <w:szCs w:val="32"/>
        </w:rPr>
      </w:pPr>
      <w:r>
        <w:rPr>
          <w:rFonts w:hint="eastAsia" w:ascii="仿宋" w:hAnsi="仿宋" w:eastAsia="仿宋" w:cs="仿宋"/>
          <w:b/>
          <w:bCs/>
          <w:sz w:val="32"/>
          <w:szCs w:val="32"/>
        </w:rPr>
        <w:t>第二十四条</w:t>
      </w:r>
      <w:r>
        <w:rPr>
          <w:rFonts w:hint="eastAsia" w:ascii="仿宋" w:hAnsi="仿宋" w:eastAsia="仿宋" w:cs="Times New Roman"/>
          <w:sz w:val="32"/>
          <w:szCs w:val="32"/>
        </w:rPr>
        <w:t xml:space="preserve"> </w:t>
      </w:r>
      <w:r>
        <w:rPr>
          <w:rFonts w:hint="eastAsia" w:ascii="仿宋" w:hAnsi="仿宋" w:eastAsia="仿宋" w:cs="仿宋"/>
          <w:sz w:val="32"/>
          <w:szCs w:val="32"/>
        </w:rPr>
        <w:t>评选委员会根据会审结果，以及秘书处报告的异议处理情况，作出优秀成果奖授奖项目、等级和获奖单位及个人的决定。</w:t>
      </w:r>
    </w:p>
    <w:p w14:paraId="60B1A9E3">
      <w:pPr>
        <w:keepNext w:val="0"/>
        <w:keepLines w:val="0"/>
        <w:pageBreakBefore w:val="0"/>
        <w:kinsoku/>
        <w:wordWrap/>
        <w:overflowPunct/>
        <w:topLinePunct w:val="0"/>
        <w:autoSpaceDE/>
        <w:bidi w:val="0"/>
        <w:adjustRightInd/>
        <w:snapToGrid/>
        <w:spacing w:line="660" w:lineRule="exact"/>
        <w:ind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Times New Roman"/>
          <w:sz w:val="32"/>
          <w:szCs w:val="32"/>
        </w:rPr>
        <w:t xml:space="preserve"> </w:t>
      </w:r>
      <w:r>
        <w:rPr>
          <w:rFonts w:hint="eastAsia" w:ascii="仿宋" w:hAnsi="仿宋" w:eastAsia="仿宋" w:cs="仿宋"/>
          <w:sz w:val="32"/>
          <w:szCs w:val="32"/>
        </w:rPr>
        <w:t>荣获优秀成果奖的项目，由湖南省土地学会在当年召开的学术年会上向获奖单位和个人颁发证书。</w:t>
      </w:r>
    </w:p>
    <w:p w14:paraId="5D074360">
      <w:pPr>
        <w:keepNext w:val="0"/>
        <w:keepLines w:val="0"/>
        <w:pageBreakBefore w:val="0"/>
        <w:kinsoku/>
        <w:wordWrap/>
        <w:overflowPunct/>
        <w:topLinePunct w:val="0"/>
        <w:autoSpaceDE/>
        <w:bidi w:val="0"/>
        <w:adjustRightInd/>
        <w:snapToGrid/>
        <w:spacing w:line="660" w:lineRule="exact"/>
        <w:jc w:val="center"/>
        <w:textAlignment w:val="auto"/>
        <w:rPr>
          <w:rFonts w:ascii="黑体" w:hAnsi="黑体" w:eastAsia="黑体" w:cs="Times New Roman"/>
          <w:sz w:val="32"/>
          <w:szCs w:val="32"/>
        </w:rPr>
      </w:pPr>
      <w:r>
        <w:rPr>
          <w:rFonts w:hint="eastAsia" w:ascii="黑体" w:hAnsi="黑体" w:eastAsia="黑体" w:cs="黑体"/>
          <w:sz w:val="32"/>
          <w:szCs w:val="32"/>
        </w:rPr>
        <w:t>第七章</w:t>
      </w:r>
      <w:r>
        <w:rPr>
          <w:rFonts w:ascii="黑体" w:hAnsi="黑体" w:eastAsia="黑体" w:cs="黑体"/>
          <w:sz w:val="32"/>
          <w:szCs w:val="32"/>
        </w:rPr>
        <w:t xml:space="preserve">  </w:t>
      </w:r>
      <w:r>
        <w:rPr>
          <w:rFonts w:hint="eastAsia" w:ascii="黑体" w:hAnsi="黑体" w:eastAsia="黑体" w:cs="黑体"/>
          <w:sz w:val="32"/>
          <w:szCs w:val="32"/>
        </w:rPr>
        <w:t>附</w:t>
      </w:r>
      <w:r>
        <w:rPr>
          <w:rFonts w:ascii="黑体" w:hAnsi="黑体" w:eastAsia="黑体" w:cs="黑体"/>
          <w:sz w:val="32"/>
          <w:szCs w:val="32"/>
        </w:rPr>
        <w:t xml:space="preserve"> </w:t>
      </w:r>
      <w:r>
        <w:rPr>
          <w:rFonts w:hint="eastAsia" w:ascii="黑体" w:hAnsi="黑体" w:eastAsia="黑体" w:cs="黑体"/>
          <w:sz w:val="32"/>
          <w:szCs w:val="32"/>
        </w:rPr>
        <w:t>则</w:t>
      </w:r>
    </w:p>
    <w:p w14:paraId="5F9E20E0">
      <w:pPr>
        <w:keepNext w:val="0"/>
        <w:keepLines w:val="0"/>
        <w:pageBreakBefore w:val="0"/>
        <w:kinsoku/>
        <w:wordWrap/>
        <w:overflowPunct/>
        <w:topLinePunct w:val="0"/>
        <w:autoSpaceDE/>
        <w:bidi w:val="0"/>
        <w:adjustRightInd/>
        <w:snapToGrid/>
        <w:spacing w:line="660" w:lineRule="exact"/>
        <w:ind w:firstLine="643" w:firstLineChars="200"/>
        <w:jc w:val="both"/>
        <w:textAlignment w:val="auto"/>
        <w:rPr>
          <w:rFonts w:ascii="仿宋" w:hAnsi="仿宋" w:eastAsia="仿宋" w:cs="Times New Roman"/>
          <w:sz w:val="32"/>
          <w:szCs w:val="32"/>
        </w:rPr>
      </w:pPr>
      <w:r>
        <w:rPr>
          <w:rFonts w:hint="eastAsia" w:ascii="仿宋" w:hAnsi="仿宋" w:eastAsia="仿宋" w:cs="仿宋"/>
          <w:b/>
          <w:bCs/>
          <w:sz w:val="32"/>
          <w:szCs w:val="32"/>
        </w:rPr>
        <w:t>第二十六条</w:t>
      </w:r>
      <w:r>
        <w:rPr>
          <w:rFonts w:hint="eastAsia" w:ascii="仿宋" w:hAnsi="仿宋" w:eastAsia="仿宋" w:cs="Times New Roman"/>
          <w:sz w:val="32"/>
          <w:szCs w:val="32"/>
        </w:rPr>
        <w:t xml:space="preserve"> </w:t>
      </w:r>
      <w:r>
        <w:rPr>
          <w:rFonts w:hint="eastAsia" w:ascii="仿宋" w:hAnsi="仿宋" w:eastAsia="仿宋" w:cs="仿宋"/>
          <w:sz w:val="32"/>
          <w:szCs w:val="32"/>
        </w:rPr>
        <w:t>优秀成果奖的参评、评审、奖励等工作经费，按国家相关规定管理和使用，接受会员监督。</w:t>
      </w:r>
    </w:p>
    <w:p w14:paraId="2C96AE48">
      <w:pPr>
        <w:keepNext w:val="0"/>
        <w:keepLines w:val="0"/>
        <w:pageBreakBefore w:val="0"/>
        <w:kinsoku/>
        <w:wordWrap/>
        <w:overflowPunct/>
        <w:topLinePunct w:val="0"/>
        <w:autoSpaceDE/>
        <w:bidi w:val="0"/>
        <w:adjustRightInd/>
        <w:snapToGrid/>
        <w:spacing w:line="660" w:lineRule="exact"/>
        <w:ind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涉及知识产权等权责由申报单位负责，获奖证书不作为确定成果权属和相关权益的直接依据。</w:t>
      </w:r>
    </w:p>
    <w:p w14:paraId="415904F2">
      <w:pPr>
        <w:keepNext w:val="0"/>
        <w:keepLines w:val="0"/>
        <w:pageBreakBefore w:val="0"/>
        <w:kinsoku/>
        <w:wordWrap/>
        <w:overflowPunct/>
        <w:topLinePunct w:val="0"/>
        <w:autoSpaceDE/>
        <w:bidi w:val="0"/>
        <w:adjustRightInd/>
        <w:snapToGrid/>
        <w:spacing w:line="660" w:lineRule="exact"/>
        <w:ind w:right="-292" w:rightChars="-139"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Times New Roman"/>
          <w:sz w:val="32"/>
          <w:szCs w:val="32"/>
        </w:rPr>
        <w:t xml:space="preserve"> </w:t>
      </w:r>
      <w:r>
        <w:rPr>
          <w:rFonts w:hint="eastAsia" w:ascii="仿宋" w:hAnsi="仿宋" w:eastAsia="仿宋" w:cs="仿宋"/>
          <w:sz w:val="32"/>
          <w:szCs w:val="32"/>
        </w:rPr>
        <w:t>本办法经湖南省土地学会第四届第六次常务理事会议理事会审议通过，自</w:t>
      </w:r>
      <w:r>
        <w:rPr>
          <w:rFonts w:hint="eastAsia" w:ascii="Times New Roman" w:hAnsi="Times New Roman" w:eastAsia="仿宋" w:cs="Times New Roman"/>
          <w:sz w:val="32"/>
          <w:szCs w:val="32"/>
          <w:lang w:val="en-US" w:eastAsia="zh-CN"/>
        </w:rPr>
        <w:t>发布之日</w:t>
      </w:r>
      <w:r>
        <w:rPr>
          <w:rFonts w:hint="eastAsia" w:ascii="仿宋" w:hAnsi="仿宋" w:eastAsia="仿宋" w:cs="仿宋"/>
          <w:sz w:val="32"/>
          <w:szCs w:val="32"/>
        </w:rPr>
        <w:t>起施行。</w:t>
      </w:r>
    </w:p>
    <w:p w14:paraId="397A1582">
      <w:pPr>
        <w:keepNext w:val="0"/>
        <w:keepLines w:val="0"/>
        <w:pageBreakBefore w:val="0"/>
        <w:kinsoku/>
        <w:wordWrap/>
        <w:overflowPunct/>
        <w:topLinePunct w:val="0"/>
        <w:autoSpaceDE/>
        <w:bidi w:val="0"/>
        <w:adjustRightInd/>
        <w:snapToGrid/>
        <w:spacing w:line="660" w:lineRule="exact"/>
        <w:ind w:firstLine="643" w:firstLineChars="200"/>
        <w:jc w:val="both"/>
        <w:textAlignment w:val="auto"/>
        <w:rPr>
          <w:rFonts w:ascii="仿宋" w:hAnsi="仿宋" w:eastAsia="仿宋" w:cs="Times New Roman"/>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十九条</w:t>
      </w:r>
      <w:r>
        <w:rPr>
          <w:rFonts w:hint="eastAsia" w:ascii="仿宋" w:hAnsi="仿宋" w:eastAsia="仿宋" w:cs="Times New Roman"/>
          <w:sz w:val="32"/>
          <w:szCs w:val="32"/>
        </w:rPr>
        <w:t xml:space="preserve"> </w:t>
      </w:r>
      <w:r>
        <w:rPr>
          <w:rFonts w:hint="eastAsia" w:ascii="仿宋" w:hAnsi="仿宋" w:eastAsia="仿宋" w:cs="仿宋"/>
          <w:sz w:val="32"/>
          <w:szCs w:val="32"/>
        </w:rPr>
        <w:t>本办法由评选委</w:t>
      </w:r>
      <w:r>
        <w:rPr>
          <w:rFonts w:hint="eastAsia" w:ascii="仿宋" w:hAnsi="仿宋" w:eastAsia="仿宋" w:cs="仿宋"/>
          <w:sz w:val="32"/>
          <w:szCs w:val="32"/>
          <w:lang w:val="en-US" w:eastAsia="zh-CN"/>
        </w:rPr>
        <w:t>员会</w:t>
      </w:r>
      <w:r>
        <w:rPr>
          <w:rFonts w:hint="eastAsia" w:ascii="仿宋" w:hAnsi="仿宋" w:eastAsia="仿宋" w:cs="仿宋"/>
          <w:sz w:val="32"/>
          <w:szCs w:val="32"/>
        </w:rPr>
        <w:t>负责解释。</w:t>
      </w:r>
    </w:p>
    <w:p w14:paraId="29DDAE63">
      <w:pPr>
        <w:snapToGrid w:val="0"/>
        <w:spacing w:line="600" w:lineRule="exact"/>
        <w:ind w:right="-210" w:rightChars="-100"/>
        <w:rPr>
          <w:rFonts w:eastAsia="仿宋"/>
          <w:color w:val="000000"/>
          <w:sz w:val="32"/>
          <w:szCs w:val="32"/>
        </w:rPr>
      </w:pPr>
    </w:p>
    <w:sectPr>
      <w:headerReference r:id="rId3" w:type="default"/>
      <w:footerReference r:id="rId4" w:type="default"/>
      <w:pgSz w:w="11906" w:h="16838"/>
      <w:pgMar w:top="1440" w:right="1800" w:bottom="1440" w:left="1800" w:header="0" w:footer="851" w:gutter="0"/>
      <w:pgNumType w:fmt="decimalFullWidth" w:start="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汉仪铸字卡酷体简">
    <w:panose1 w:val="00020600040101010101"/>
    <w:charset w:val="86"/>
    <w:family w:val="auto"/>
    <w:pitch w:val="default"/>
    <w:sig w:usb0="8000003F" w:usb1="1AC17CFA" w:usb2="00000016" w:usb3="00000000" w:csb0="0004009F" w:csb1="00000000"/>
  </w:font>
  <w:font w:name="思源黑体 CN Medium">
    <w:panose1 w:val="020B0600000000000000"/>
    <w:charset w:val="86"/>
    <w:family w:val="auto"/>
    <w:pitch w:val="default"/>
    <w:sig w:usb0="20000003" w:usb1="2ADF3C10" w:usb2="00000016" w:usb3="00000000" w:csb0="60060107" w:csb1="00000000"/>
  </w:font>
  <w:font w:name="方正楷体拼音字库01">
    <w:panose1 w:val="03000509000000000000"/>
    <w:charset w:val="86"/>
    <w:family w:val="auto"/>
    <w:pitch w:val="default"/>
    <w:sig w:usb0="00000001" w:usb1="080E0000" w:usb2="00000000" w:usb3="00000000" w:csb0="00040001" w:csb1="00000000"/>
  </w:font>
  <w:font w:name="Adobe Myungjo Std M">
    <w:panose1 w:val="02020600000000000000"/>
    <w:charset w:val="80"/>
    <w:family w:val="auto"/>
    <w:pitch w:val="default"/>
    <w:sig w:usb0="00000001" w:usb1="21D72C10" w:usb2="00000010" w:usb3="00000000" w:csb0="602A0005" w:csb1="00000000"/>
  </w:font>
  <w:font w:name="Kozuka Gothic Pr6N B">
    <w:panose1 w:val="020B0800000000000000"/>
    <w:charset w:val="80"/>
    <w:family w:val="auto"/>
    <w:pitch w:val="default"/>
    <w:sig w:usb0="000002D7" w:usb1="2AC71C11" w:usb2="00000012" w:usb3="00000000" w:csb0="2002009F" w:csb1="00000000"/>
  </w:font>
  <w:font w:name="Kozuka Gothic Pro M">
    <w:panose1 w:val="020B0700000000000000"/>
    <w:charset w:val="80"/>
    <w:family w:val="auto"/>
    <w:pitch w:val="default"/>
    <w:sig w:usb0="00000083" w:usb1="2AC71C11" w:usb2="00000012" w:usb3="00000000" w:csb0="20020005" w:csb1="00000000"/>
  </w:font>
  <w:font w:name="Kozuka Mincho Pro EL">
    <w:panose1 w:val="02020200000000000000"/>
    <w:charset w:val="80"/>
    <w:family w:val="auto"/>
    <w:pitch w:val="default"/>
    <w:sig w:usb0="00000083" w:usb1="2AC71C11" w:usb2="00000012" w:usb3="00000000" w:csb0="20020005" w:csb1="00000000"/>
  </w:font>
  <w:font w:name="Arial Rounded MT Bold">
    <w:panose1 w:val="020F0704030504030204"/>
    <w:charset w:val="00"/>
    <w:family w:val="auto"/>
    <w:pitch w:val="default"/>
    <w:sig w:usb0="00000003" w:usb1="00000000" w:usb2="00000000" w:usb3="00000000" w:csb0="200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0A26F">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F293C">
                          <w:pPr>
                            <w:pStyle w:val="3"/>
                            <w:rPr>
                              <w:rFonts w:hint="default" w:ascii="Arial" w:hAnsi="Arial" w:cs="Arial"/>
                            </w:rPr>
                          </w:pPr>
                          <w:r>
                            <w:rPr>
                              <w:rFonts w:hint="default" w:ascii="Arial" w:hAnsi="Arial" w:cs="Arial"/>
                            </w:rPr>
                            <w:fldChar w:fldCharType="begin"/>
                          </w:r>
                          <w:r>
                            <w:rPr>
                              <w:rFonts w:hint="default" w:ascii="Arial" w:hAnsi="Arial" w:cs="Arial"/>
                            </w:rPr>
                            <w:instrText xml:space="preserve"> PAGE  \* MERGEFORMAT </w:instrText>
                          </w:r>
                          <w:r>
                            <w:rPr>
                              <w:rFonts w:hint="default" w:ascii="Arial" w:hAnsi="Arial" w:cs="Arial"/>
                            </w:rPr>
                            <w:fldChar w:fldCharType="separate"/>
                          </w:r>
                          <w:r>
                            <w:rPr>
                              <w:rFonts w:hint="default" w:ascii="Arial" w:hAnsi="Arial" w:cs="Arial"/>
                            </w:rPr>
                            <w:t>9</w:t>
                          </w:r>
                          <w:r>
                            <w:rPr>
                              <w:rFonts w:hint="default" w:ascii="Arial" w:hAnsi="Arial" w:cs="Aria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AFF293C">
                    <w:pPr>
                      <w:pStyle w:val="3"/>
                      <w:rPr>
                        <w:rFonts w:hint="default" w:ascii="Arial" w:hAnsi="Arial" w:cs="Arial"/>
                      </w:rPr>
                    </w:pPr>
                    <w:r>
                      <w:rPr>
                        <w:rFonts w:hint="default" w:ascii="Arial" w:hAnsi="Arial" w:cs="Arial"/>
                      </w:rPr>
                      <w:fldChar w:fldCharType="begin"/>
                    </w:r>
                    <w:r>
                      <w:rPr>
                        <w:rFonts w:hint="default" w:ascii="Arial" w:hAnsi="Arial" w:cs="Arial"/>
                      </w:rPr>
                      <w:instrText xml:space="preserve"> PAGE  \* MERGEFORMAT </w:instrText>
                    </w:r>
                    <w:r>
                      <w:rPr>
                        <w:rFonts w:hint="default" w:ascii="Arial" w:hAnsi="Arial" w:cs="Arial"/>
                      </w:rPr>
                      <w:fldChar w:fldCharType="separate"/>
                    </w:r>
                    <w:r>
                      <w:rPr>
                        <w:rFonts w:hint="default" w:ascii="Arial" w:hAnsi="Arial" w:cs="Arial"/>
                      </w:rPr>
                      <w:t>9</w:t>
                    </w:r>
                    <w:r>
                      <w:rPr>
                        <w:rFonts w:hint="default" w:ascii="Arial" w:hAnsi="Arial" w:cs="Arial"/>
                      </w:rPr>
                      <w:fldChar w:fldCharType="end"/>
                    </w:r>
                  </w:p>
                </w:txbxContent>
              </v:textbox>
            </v:shape>
          </w:pict>
        </mc:Fallback>
      </mc:AlternateContent>
    </w:r>
  </w:p>
  <w:p w14:paraId="6383190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99F95">
    <w:pPr>
      <w:widowControl w:val="0"/>
      <w:pBdr>
        <w:top w:val="none" w:color="auto" w:sz="0" w:space="1"/>
        <w:left w:val="none" w:color="auto" w:sz="0" w:space="4"/>
        <w:bottom w:val="none" w:color="auto" w:sz="0" w:space="1"/>
        <w:right w:val="none" w:color="auto" w:sz="0" w:space="4"/>
      </w:pBdr>
      <w:tabs>
        <w:tab w:val="center" w:pos="4153"/>
        <w:tab w:val="right" w:pos="8306"/>
      </w:tabs>
      <w:snapToGrid w:val="0"/>
      <w:ind w:firstLine="360"/>
      <w:jc w:val="both"/>
      <w:rPr>
        <w:rFonts w:ascii="Calibri" w:hAnsi="Calibri" w:eastAsia="宋体" w:cs="Times New Roman"/>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jOGY1ODlhMWQ4YmM1M2M4OWMyMWFkYzM1NGJhNjAifQ=="/>
  </w:docVars>
  <w:rsids>
    <w:rsidRoot w:val="00B34623"/>
    <w:rsid w:val="0000704F"/>
    <w:rsid w:val="00023E61"/>
    <w:rsid w:val="00031FE4"/>
    <w:rsid w:val="001051CC"/>
    <w:rsid w:val="00123FDD"/>
    <w:rsid w:val="001860DD"/>
    <w:rsid w:val="001870B6"/>
    <w:rsid w:val="001C5275"/>
    <w:rsid w:val="001F3ACF"/>
    <w:rsid w:val="0022130C"/>
    <w:rsid w:val="002C2FE6"/>
    <w:rsid w:val="002E1946"/>
    <w:rsid w:val="00376E8B"/>
    <w:rsid w:val="003809D0"/>
    <w:rsid w:val="003B21A7"/>
    <w:rsid w:val="003F56A8"/>
    <w:rsid w:val="004804E1"/>
    <w:rsid w:val="004827EF"/>
    <w:rsid w:val="005378A5"/>
    <w:rsid w:val="005F7E14"/>
    <w:rsid w:val="00605F21"/>
    <w:rsid w:val="006170DB"/>
    <w:rsid w:val="00640DB4"/>
    <w:rsid w:val="00663E15"/>
    <w:rsid w:val="006B705A"/>
    <w:rsid w:val="006E384F"/>
    <w:rsid w:val="00706BF4"/>
    <w:rsid w:val="00742BB8"/>
    <w:rsid w:val="00797906"/>
    <w:rsid w:val="007C0671"/>
    <w:rsid w:val="007D0148"/>
    <w:rsid w:val="007D38A5"/>
    <w:rsid w:val="007E6AEE"/>
    <w:rsid w:val="007F0FFA"/>
    <w:rsid w:val="0084296F"/>
    <w:rsid w:val="008A21A0"/>
    <w:rsid w:val="008B33C2"/>
    <w:rsid w:val="008F2BB9"/>
    <w:rsid w:val="00913D80"/>
    <w:rsid w:val="00942383"/>
    <w:rsid w:val="009601EA"/>
    <w:rsid w:val="00974D7A"/>
    <w:rsid w:val="009B16FA"/>
    <w:rsid w:val="009C2546"/>
    <w:rsid w:val="009C4BA1"/>
    <w:rsid w:val="00A23E0C"/>
    <w:rsid w:val="00A66481"/>
    <w:rsid w:val="00A85726"/>
    <w:rsid w:val="00B21F99"/>
    <w:rsid w:val="00B34623"/>
    <w:rsid w:val="00BA6228"/>
    <w:rsid w:val="00BA7433"/>
    <w:rsid w:val="00BC5F15"/>
    <w:rsid w:val="00CB133B"/>
    <w:rsid w:val="00CE0BC2"/>
    <w:rsid w:val="00CF2E8C"/>
    <w:rsid w:val="00D01419"/>
    <w:rsid w:val="00D45B33"/>
    <w:rsid w:val="00D5585C"/>
    <w:rsid w:val="00D81673"/>
    <w:rsid w:val="00DA3352"/>
    <w:rsid w:val="00DA543F"/>
    <w:rsid w:val="00E10C4B"/>
    <w:rsid w:val="00E16EC1"/>
    <w:rsid w:val="00E23261"/>
    <w:rsid w:val="00E95E4C"/>
    <w:rsid w:val="00EC5D5D"/>
    <w:rsid w:val="00ED3320"/>
    <w:rsid w:val="00EE61D5"/>
    <w:rsid w:val="00EF18FD"/>
    <w:rsid w:val="00F56D21"/>
    <w:rsid w:val="10354D28"/>
    <w:rsid w:val="15AA6F86"/>
    <w:rsid w:val="1B2977D3"/>
    <w:rsid w:val="1B424099"/>
    <w:rsid w:val="1E7067C1"/>
    <w:rsid w:val="22B20FBA"/>
    <w:rsid w:val="25741977"/>
    <w:rsid w:val="297D1482"/>
    <w:rsid w:val="2A2A4F13"/>
    <w:rsid w:val="2CF874A7"/>
    <w:rsid w:val="30487E2F"/>
    <w:rsid w:val="30A15A7F"/>
    <w:rsid w:val="34614ED8"/>
    <w:rsid w:val="390B1B59"/>
    <w:rsid w:val="3A214992"/>
    <w:rsid w:val="3B063220"/>
    <w:rsid w:val="3BF60BD9"/>
    <w:rsid w:val="3F441D0B"/>
    <w:rsid w:val="43FD6B1D"/>
    <w:rsid w:val="448A5528"/>
    <w:rsid w:val="546454C6"/>
    <w:rsid w:val="554945C7"/>
    <w:rsid w:val="574D4C45"/>
    <w:rsid w:val="5A84330C"/>
    <w:rsid w:val="5CC32AD7"/>
    <w:rsid w:val="67FC3A69"/>
    <w:rsid w:val="78170BB3"/>
    <w:rsid w:val="78C500FB"/>
    <w:rsid w:val="7B522505"/>
    <w:rsid w:val="7DCA6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字符"/>
    <w:basedOn w:val="8"/>
    <w:link w:val="4"/>
    <w:autoRedefine/>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2383</Words>
  <Characters>2405</Characters>
  <Lines>7</Lines>
  <Paragraphs>2</Paragraphs>
  <TotalTime>97</TotalTime>
  <ScaleCrop>false</ScaleCrop>
  <LinksUpToDate>false</LinksUpToDate>
  <CharactersWithSpaces>2451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2020-10-22T06:53:00Z</dcterms:created>
  <dc:creator>webUser</dc:creator>
  <cp:lastModifiedBy>周慧</cp:lastModifiedBy>
  <cp:lastPrinted>2022-04-11T06:57:00Z</cp:lastPrinted>
  <dcterms:modified xsi:type="dcterms:W3CDTF">2024-06-25T08:35:43Z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9588D60B700E4F52B7E35647DA8E6C74_13</vt:lpwstr>
  </property>
</Properties>
</file>